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1424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color w:val="auto"/>
          <w:sz w:val="44"/>
          <w:szCs w:val="44"/>
          <w:highlight w:val="none"/>
          <w:lang w:val="en-US" w:eastAsia="zh-CN" w:bidi="ar-SA"/>
        </w:rPr>
      </w:pPr>
      <w:r>
        <w:rPr>
          <w:rFonts w:hint="default" w:ascii="Times New Roman" w:hAnsi="Times New Roman" w:eastAsia="方正小标宋简体" w:cs="Times New Roman"/>
          <w:color w:val="auto"/>
          <w:sz w:val="44"/>
          <w:szCs w:val="44"/>
          <w:highlight w:val="none"/>
          <w:lang w:val="en-US" w:eastAsia="zh-CN" w:bidi="ar-SA"/>
        </w:rPr>
        <w:t>泉州市2025年度中央土壤污染防治资金</w:t>
      </w:r>
    </w:p>
    <w:p w14:paraId="330DC41F">
      <w:pPr>
        <w:spacing w:line="560" w:lineRule="exact"/>
        <w:ind w:firstLine="0" w:firstLineChars="0"/>
        <w:jc w:val="center"/>
        <w:rPr>
          <w:rFonts w:hint="default" w:ascii="Times New Roman" w:hAnsi="Times New Roman" w:eastAsia="方正小标宋简体" w:cs="Times New Roman"/>
          <w:color w:val="auto"/>
          <w:sz w:val="44"/>
          <w:szCs w:val="44"/>
          <w:highlight w:val="none"/>
          <w:lang w:val="en-US" w:eastAsia="zh-CN" w:bidi="ar-SA"/>
        </w:rPr>
      </w:pPr>
      <w:r>
        <w:rPr>
          <w:rFonts w:hint="default" w:ascii="Times New Roman" w:hAnsi="Times New Roman" w:eastAsia="方正小标宋简体" w:cs="Times New Roman"/>
          <w:color w:val="auto"/>
          <w:sz w:val="44"/>
          <w:szCs w:val="44"/>
          <w:highlight w:val="none"/>
          <w:lang w:val="en-US" w:eastAsia="zh-CN" w:bidi="ar-SA"/>
        </w:rPr>
        <w:t>绩效自评报告</w:t>
      </w:r>
    </w:p>
    <w:p w14:paraId="482BB8C0">
      <w:pPr>
        <w:pStyle w:val="2"/>
        <w:rPr>
          <w:rFonts w:hint="default"/>
        </w:rPr>
      </w:pPr>
    </w:p>
    <w:p w14:paraId="6619151A">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lang w:val="en-US" w:eastAsia="zh-CN" w:bidi="ar-SA"/>
        </w:rPr>
      </w:pPr>
      <w:r>
        <w:rPr>
          <w:rFonts w:hint="default" w:ascii="Times New Roman" w:hAnsi="Times New Roman" w:eastAsia="黑体" w:cs="Times New Roman"/>
          <w:color w:val="auto"/>
          <w:sz w:val="32"/>
          <w:szCs w:val="32"/>
          <w:highlight w:val="none"/>
          <w:lang w:val="en-US" w:eastAsia="zh-CN" w:bidi="ar-SA"/>
        </w:rPr>
        <w:t>一、绩效目标分解下达情况</w:t>
      </w:r>
    </w:p>
    <w:p w14:paraId="1C9D7D38">
      <w:pPr>
        <w:topLinePunct/>
        <w:adjustRightInd w:val="0"/>
        <w:snapToGrid w:val="0"/>
        <w:spacing w:line="560" w:lineRule="exact"/>
        <w:ind w:firstLine="640" w:firstLineChars="200"/>
        <w:rPr>
          <w:rFonts w:hint="default" w:ascii="Times New Roman" w:hAnsi="Times New Roman" w:eastAsia="仿宋" w:cs="Times New Roman"/>
          <w:color w:val="auto"/>
          <w:sz w:val="32"/>
          <w:szCs w:val="32"/>
          <w:highlight w:val="none"/>
          <w:lang w:val="en-US" w:eastAsia="zh-CN" w:bidi="ar-SA"/>
        </w:rPr>
      </w:pPr>
      <w:r>
        <w:rPr>
          <w:rFonts w:hint="default" w:ascii="Times New Roman" w:hAnsi="Times New Roman" w:eastAsia="仿宋" w:cs="Times New Roman"/>
          <w:color w:val="auto"/>
          <w:sz w:val="32"/>
          <w:szCs w:val="32"/>
          <w:highlight w:val="none"/>
          <w:lang w:val="en-US" w:eastAsia="zh-CN"/>
        </w:rPr>
        <w:t>202</w:t>
      </w:r>
      <w:r>
        <w:rPr>
          <w:rFonts w:hint="default" w:ascii="Times New Roman" w:hAnsi="Times New Roman" w:cs="Times New Roman"/>
          <w:color w:val="auto"/>
          <w:sz w:val="32"/>
          <w:szCs w:val="32"/>
          <w:highlight w:val="none"/>
          <w:lang w:val="en-US" w:eastAsia="zh-CN"/>
        </w:rPr>
        <w:t>5</w:t>
      </w:r>
      <w:r>
        <w:rPr>
          <w:rFonts w:hint="default" w:ascii="Times New Roman" w:hAnsi="Times New Roman" w:eastAsia="仿宋" w:cs="Times New Roman"/>
          <w:color w:val="auto"/>
          <w:sz w:val="32"/>
          <w:szCs w:val="32"/>
          <w:highlight w:val="none"/>
          <w:lang w:val="en-US" w:eastAsia="zh-CN"/>
        </w:rPr>
        <w:t>年度，福建省财政厅、生态环境厅共下达泉州市</w:t>
      </w:r>
      <w:r>
        <w:rPr>
          <w:rFonts w:hint="default" w:ascii="Times New Roman" w:hAnsi="Times New Roman" w:cs="Times New Roman"/>
          <w:color w:val="auto"/>
          <w:sz w:val="32"/>
          <w:szCs w:val="32"/>
          <w:highlight w:val="none"/>
          <w:lang w:val="en-US" w:eastAsia="zh-CN"/>
        </w:rPr>
        <w:t>中央土壤污染防治资金620</w:t>
      </w:r>
      <w:r>
        <w:rPr>
          <w:rFonts w:hint="default" w:ascii="Times New Roman" w:hAnsi="Times New Roman" w:eastAsia="仿宋" w:cs="Times New Roman"/>
          <w:color w:val="auto"/>
          <w:sz w:val="32"/>
          <w:szCs w:val="32"/>
          <w:highlight w:val="none"/>
          <w:lang w:val="en-US" w:eastAsia="zh-CN"/>
        </w:rPr>
        <w:t>万元</w:t>
      </w:r>
      <w:r>
        <w:rPr>
          <w:rFonts w:hint="default" w:ascii="Times New Roman" w:hAnsi="Times New Roman" w:cs="Times New Roman"/>
          <w:color w:val="auto"/>
          <w:sz w:val="32"/>
          <w:szCs w:val="32"/>
          <w:highlight w:val="none"/>
          <w:lang w:val="en-US" w:eastAsia="zh-CN"/>
        </w:rPr>
        <w:t>，并下达绩效目标如下</w:t>
      </w:r>
      <w:r>
        <w:rPr>
          <w:rFonts w:hint="default" w:ascii="Times New Roman" w:hAnsi="Times New Roman" w:eastAsia="仿宋" w:cs="Times New Roman"/>
          <w:color w:val="auto"/>
          <w:sz w:val="32"/>
          <w:szCs w:val="32"/>
          <w:highlight w:val="none"/>
          <w:lang w:val="en-US" w:eastAsia="zh-CN"/>
        </w:rPr>
        <w:t>：</w:t>
      </w:r>
    </w:p>
    <w:p w14:paraId="24E4E8AB">
      <w:pPr>
        <w:pStyle w:val="2"/>
        <w:topLinePunct/>
        <w:adjustRightInd w:val="0"/>
        <w:snapToGrid w:val="0"/>
        <w:spacing w:line="560" w:lineRule="exact"/>
        <w:ind w:firstLine="643" w:firstLineChars="200"/>
        <w:rPr>
          <w:rFonts w:hint="default" w:ascii="Times New Roman" w:hAnsi="Times New Roman" w:eastAsia="楷体_GB2312" w:cs="Times New Roman"/>
          <w:b/>
          <w:bCs/>
          <w:i w:val="0"/>
          <w:color w:val="auto"/>
          <w:sz w:val="32"/>
          <w:szCs w:val="32"/>
          <w:highlight w:val="none"/>
          <w:lang w:val="en-US" w:eastAsia="zh-CN" w:bidi="ar-SA"/>
        </w:rPr>
      </w:pPr>
      <w:r>
        <w:rPr>
          <w:rFonts w:hint="default" w:ascii="Times New Roman" w:hAnsi="Times New Roman" w:eastAsia="楷体_GB2312" w:cs="Times New Roman"/>
          <w:b/>
          <w:bCs/>
          <w:i w:val="0"/>
          <w:color w:val="auto"/>
          <w:sz w:val="32"/>
          <w:szCs w:val="32"/>
          <w:highlight w:val="none"/>
          <w:lang w:val="en-US" w:eastAsia="zh-CN" w:bidi="ar-SA"/>
        </w:rPr>
        <w:t>（一）年度总体目标</w:t>
      </w:r>
    </w:p>
    <w:p w14:paraId="6B5F5A9A">
      <w:pPr>
        <w:pStyle w:val="2"/>
        <w:topLinePunct/>
        <w:adjustRightInd w:val="0"/>
        <w:snapToGrid w:val="0"/>
        <w:spacing w:line="560" w:lineRule="exact"/>
        <w:ind w:firstLine="640" w:firstLineChars="200"/>
        <w:rPr>
          <w:rFonts w:hint="default" w:ascii="Times New Roman" w:hAnsi="Times New Roman" w:eastAsia="仿宋" w:cs="Times New Roman"/>
          <w:i w:val="0"/>
          <w:color w:val="auto"/>
          <w:kern w:val="2"/>
          <w:sz w:val="32"/>
          <w:szCs w:val="32"/>
          <w:highlight w:val="none"/>
        </w:rPr>
      </w:pPr>
      <w:r>
        <w:rPr>
          <w:rFonts w:hint="default" w:ascii="Times New Roman" w:hAnsi="Times New Roman" w:cs="Times New Roman"/>
          <w:i w:val="0"/>
          <w:color w:val="auto"/>
          <w:sz w:val="32"/>
          <w:szCs w:val="32"/>
          <w:highlight w:val="none"/>
          <w:lang w:val="en-US" w:eastAsia="zh-CN" w:bidi="ar-SA"/>
        </w:rPr>
        <w:t>推动2个在产企业绿色化改造，源头防控土壤污染</w:t>
      </w:r>
      <w:r>
        <w:rPr>
          <w:rFonts w:hint="default" w:ascii="Times New Roman" w:hAnsi="Times New Roman" w:eastAsia="仿宋" w:cs="Times New Roman"/>
          <w:i w:val="0"/>
          <w:color w:val="auto"/>
          <w:sz w:val="32"/>
          <w:szCs w:val="32"/>
          <w:highlight w:val="none"/>
          <w:lang w:val="en-US" w:eastAsia="zh-CN" w:bidi="ar-SA"/>
        </w:rPr>
        <w:t>。</w:t>
      </w:r>
    </w:p>
    <w:p w14:paraId="60360015">
      <w:pPr>
        <w:pStyle w:val="2"/>
        <w:topLinePunct/>
        <w:adjustRightInd w:val="0"/>
        <w:snapToGrid w:val="0"/>
        <w:spacing w:line="560" w:lineRule="exact"/>
        <w:ind w:firstLine="643" w:firstLineChars="200"/>
        <w:rPr>
          <w:rFonts w:hint="default" w:ascii="Times New Roman" w:hAnsi="Times New Roman" w:eastAsia="楷体_GB2312" w:cs="Times New Roman"/>
          <w:b/>
          <w:bCs/>
          <w:i w:val="0"/>
          <w:color w:val="auto"/>
          <w:kern w:val="2"/>
          <w:sz w:val="32"/>
          <w:szCs w:val="32"/>
          <w:highlight w:val="none"/>
          <w:lang w:eastAsia="zh-CN"/>
        </w:rPr>
      </w:pPr>
      <w:r>
        <w:rPr>
          <w:rFonts w:hint="default" w:ascii="Times New Roman" w:hAnsi="Times New Roman" w:eastAsia="楷体_GB2312" w:cs="Times New Roman"/>
          <w:b/>
          <w:bCs/>
          <w:i w:val="0"/>
          <w:color w:val="auto"/>
          <w:kern w:val="2"/>
          <w:sz w:val="32"/>
          <w:szCs w:val="32"/>
          <w:highlight w:val="none"/>
          <w:lang w:eastAsia="zh-CN"/>
        </w:rPr>
        <w:t>（二）绩效目标</w:t>
      </w:r>
    </w:p>
    <w:p w14:paraId="343F1BCF">
      <w:pPr>
        <w:pStyle w:val="2"/>
        <w:topLinePunct/>
        <w:adjustRightInd w:val="0"/>
        <w:snapToGrid w:val="0"/>
        <w:spacing w:line="560" w:lineRule="exact"/>
        <w:ind w:firstLine="643" w:firstLineChars="200"/>
        <w:rPr>
          <w:rFonts w:hint="default" w:ascii="Times New Roman" w:hAnsi="Times New Roman" w:eastAsia="仿宋_GB2312" w:cs="Times New Roman"/>
          <w:b w:val="0"/>
          <w:bCs w:val="0"/>
          <w:i w:val="0"/>
          <w:color w:val="auto"/>
          <w:sz w:val="32"/>
          <w:szCs w:val="32"/>
          <w:highlight w:val="none"/>
          <w:lang w:val="en-US" w:eastAsia="zh-CN" w:bidi="ar-SA"/>
        </w:rPr>
      </w:pPr>
      <w:r>
        <w:rPr>
          <w:rFonts w:hint="default" w:ascii="Times New Roman" w:hAnsi="Times New Roman" w:eastAsia="仿宋_GB2312" w:cs="Times New Roman"/>
          <w:b/>
          <w:bCs/>
          <w:i w:val="0"/>
          <w:color w:val="auto"/>
          <w:sz w:val="32"/>
          <w:szCs w:val="32"/>
          <w:highlight w:val="none"/>
          <w:lang w:val="en-US" w:eastAsia="zh-CN" w:bidi="ar-SA"/>
        </w:rPr>
        <w:t>1.成本指标，</w:t>
      </w:r>
      <w:r>
        <w:rPr>
          <w:rFonts w:hint="default" w:ascii="Times New Roman" w:hAnsi="Times New Roman" w:eastAsia="仿宋_GB2312" w:cs="Times New Roman"/>
          <w:b w:val="0"/>
          <w:bCs w:val="0"/>
          <w:i w:val="0"/>
          <w:color w:val="auto"/>
          <w:sz w:val="32"/>
          <w:szCs w:val="32"/>
          <w:highlight w:val="none"/>
          <w:lang w:val="en-US" w:eastAsia="zh-CN" w:bidi="ar-SA"/>
        </w:rPr>
        <w:t>经济成本指标：成本控制率≤100%</w:t>
      </w:r>
    </w:p>
    <w:p w14:paraId="511278E1">
      <w:pPr>
        <w:pStyle w:val="2"/>
        <w:topLinePunct/>
        <w:adjustRightInd w:val="0"/>
        <w:snapToGrid w:val="0"/>
        <w:spacing w:line="560" w:lineRule="exact"/>
        <w:ind w:firstLine="643" w:firstLineChars="200"/>
        <w:rPr>
          <w:rFonts w:hint="default" w:ascii="Times New Roman" w:hAnsi="Times New Roman" w:eastAsia="仿宋_GB2312" w:cs="Times New Roman"/>
          <w:b/>
          <w:bCs/>
          <w:i w:val="0"/>
          <w:color w:val="auto"/>
          <w:sz w:val="32"/>
          <w:szCs w:val="32"/>
          <w:highlight w:val="none"/>
          <w:lang w:val="en-US" w:eastAsia="zh-CN" w:bidi="ar-SA"/>
        </w:rPr>
      </w:pPr>
      <w:r>
        <w:rPr>
          <w:rFonts w:hint="default" w:ascii="Times New Roman" w:hAnsi="Times New Roman" w:eastAsia="仿宋_GB2312" w:cs="Times New Roman"/>
          <w:b/>
          <w:bCs/>
          <w:i w:val="0"/>
          <w:color w:val="auto"/>
          <w:sz w:val="32"/>
          <w:szCs w:val="32"/>
          <w:highlight w:val="none"/>
          <w:lang w:val="en-US" w:eastAsia="zh-CN" w:bidi="ar-SA"/>
        </w:rPr>
        <w:t>2.产出指标</w:t>
      </w:r>
    </w:p>
    <w:p w14:paraId="6DA60990">
      <w:pPr>
        <w:pStyle w:val="2"/>
        <w:keepNext w:val="0"/>
        <w:keepLines w:val="0"/>
        <w:pageBreakBefore w:val="0"/>
        <w:widowControl/>
        <w:tabs>
          <w:tab w:val="left" w:pos="640"/>
        </w:tabs>
        <w:kinsoku/>
        <w:wordWrap/>
        <w:overflowPunct/>
        <w:topLinePunct/>
        <w:autoSpaceDE/>
        <w:autoSpaceDN/>
        <w:bidi w:val="0"/>
        <w:adjustRightInd w:val="0"/>
        <w:snapToGrid w:val="0"/>
        <w:spacing w:line="560" w:lineRule="exact"/>
        <w:ind w:firstLine="643" w:firstLineChars="200"/>
        <w:jc w:val="left"/>
        <w:textAlignment w:val="auto"/>
        <w:rPr>
          <w:rFonts w:hint="default" w:ascii="Times New Roman" w:hAnsi="Times New Roman" w:eastAsia="仿宋_GB2312" w:cs="Times New Roman"/>
          <w:b w:val="0"/>
          <w:bCs w:val="0"/>
          <w:i w:val="0"/>
          <w:color w:val="auto"/>
          <w:sz w:val="32"/>
          <w:szCs w:val="32"/>
          <w:highlight w:val="none"/>
          <w:lang w:val="en-US" w:eastAsia="zh-CN" w:bidi="ar-SA"/>
        </w:rPr>
      </w:pPr>
      <w:r>
        <w:rPr>
          <w:rFonts w:hint="default" w:ascii="Times New Roman" w:hAnsi="Times New Roman" w:eastAsia="仿宋_GB2312" w:cs="Times New Roman"/>
          <w:b/>
          <w:bCs/>
          <w:i w:val="0"/>
          <w:color w:val="auto"/>
          <w:sz w:val="32"/>
          <w:szCs w:val="32"/>
          <w:highlight w:val="none"/>
          <w:lang w:val="en-US" w:eastAsia="zh-CN" w:bidi="ar-SA"/>
        </w:rPr>
        <w:t>（1）数量指标：</w:t>
      </w:r>
      <w:r>
        <w:rPr>
          <w:rFonts w:hint="default" w:ascii="Times New Roman" w:hAnsi="Times New Roman" w:eastAsia="仿宋_GB2312" w:cs="Times New Roman"/>
          <w:b w:val="0"/>
          <w:bCs w:val="0"/>
          <w:i w:val="0"/>
          <w:color w:val="auto"/>
          <w:sz w:val="32"/>
          <w:szCs w:val="32"/>
          <w:highlight w:val="none"/>
          <w:lang w:val="en-US" w:eastAsia="zh-CN" w:bidi="ar-SA"/>
        </w:rPr>
        <w:t>实施重点行业土壤污染整治项目2个。</w:t>
      </w:r>
    </w:p>
    <w:p w14:paraId="66A57806">
      <w:pPr>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bCs/>
          <w:i w:val="0"/>
          <w:color w:val="auto"/>
          <w:sz w:val="32"/>
          <w:szCs w:val="32"/>
          <w:highlight w:val="none"/>
          <w:lang w:val="en-US" w:eastAsia="zh-CN" w:bidi="ar-SA"/>
        </w:rPr>
      </w:pPr>
      <w:r>
        <w:rPr>
          <w:rFonts w:hint="default" w:ascii="Times New Roman" w:hAnsi="Times New Roman" w:eastAsia="仿宋_GB2312" w:cs="Times New Roman"/>
          <w:b/>
          <w:bCs/>
          <w:i w:val="0"/>
          <w:color w:val="auto"/>
          <w:sz w:val="32"/>
          <w:szCs w:val="32"/>
          <w:highlight w:val="none"/>
          <w:lang w:val="en-US" w:eastAsia="zh-CN" w:bidi="ar-SA"/>
        </w:rPr>
        <w:t>（2）质量指标：</w:t>
      </w:r>
    </w:p>
    <w:p w14:paraId="228D0142">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i w:val="0"/>
          <w:color w:val="auto"/>
          <w:sz w:val="32"/>
          <w:szCs w:val="32"/>
          <w:highlight w:val="none"/>
          <w:lang w:val="en-US" w:eastAsia="zh-CN" w:bidi="ar-SA"/>
        </w:rPr>
      </w:pPr>
      <w:r>
        <w:rPr>
          <w:rFonts w:hint="default" w:ascii="Times New Roman" w:hAnsi="Times New Roman" w:eastAsia="仿宋_GB2312" w:cs="Times New Roman"/>
          <w:b w:val="0"/>
          <w:bCs w:val="0"/>
          <w:i w:val="0"/>
          <w:color w:val="auto"/>
          <w:sz w:val="32"/>
          <w:szCs w:val="32"/>
          <w:highlight w:val="none"/>
          <w:lang w:val="en-US" w:eastAsia="zh-CN" w:bidi="ar-SA"/>
        </w:rPr>
        <w:t>建设用地、农用地管控或修复项目效果评估通过率100%</w:t>
      </w:r>
    </w:p>
    <w:p w14:paraId="6687A871">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i w:val="0"/>
          <w:color w:val="auto"/>
          <w:sz w:val="32"/>
          <w:szCs w:val="32"/>
          <w:highlight w:val="none"/>
          <w:lang w:val="en-US" w:eastAsia="zh-CN" w:bidi="ar-SA"/>
        </w:rPr>
      </w:pPr>
      <w:r>
        <w:rPr>
          <w:rFonts w:hint="default" w:ascii="Times New Roman" w:hAnsi="Times New Roman" w:eastAsia="仿宋_GB2312" w:cs="Times New Roman"/>
          <w:b w:val="0"/>
          <w:bCs w:val="0"/>
          <w:i w:val="0"/>
          <w:color w:val="auto"/>
          <w:sz w:val="32"/>
          <w:szCs w:val="32"/>
          <w:highlight w:val="none"/>
          <w:lang w:val="en-US" w:eastAsia="zh-CN" w:bidi="ar-SA"/>
        </w:rPr>
        <w:t>项目验收合格率100%。</w:t>
      </w:r>
    </w:p>
    <w:p w14:paraId="739C979E">
      <w:pPr>
        <w:pStyle w:val="2"/>
        <w:topLinePunct/>
        <w:adjustRightInd w:val="0"/>
        <w:snapToGrid w:val="0"/>
        <w:spacing w:line="560" w:lineRule="exact"/>
        <w:ind w:firstLine="643" w:firstLineChars="200"/>
        <w:rPr>
          <w:rFonts w:hint="default" w:ascii="Times New Roman" w:hAnsi="Times New Roman" w:eastAsia="仿宋_GB2312" w:cs="Times New Roman"/>
          <w:b/>
          <w:bCs/>
          <w:i w:val="0"/>
          <w:color w:val="auto"/>
          <w:sz w:val="32"/>
          <w:szCs w:val="32"/>
          <w:highlight w:val="none"/>
          <w:lang w:val="en-US" w:eastAsia="zh-CN" w:bidi="ar-SA"/>
        </w:rPr>
      </w:pPr>
      <w:r>
        <w:rPr>
          <w:rFonts w:hint="default" w:ascii="Times New Roman" w:hAnsi="Times New Roman" w:eastAsia="仿宋_GB2312" w:cs="Times New Roman"/>
          <w:b/>
          <w:bCs/>
          <w:i w:val="0"/>
          <w:color w:val="auto"/>
          <w:sz w:val="32"/>
          <w:szCs w:val="32"/>
          <w:highlight w:val="none"/>
          <w:lang w:val="en-US" w:eastAsia="zh-CN" w:bidi="ar-SA"/>
        </w:rPr>
        <w:t>（3）时效指标：</w:t>
      </w:r>
    </w:p>
    <w:p w14:paraId="3643ADEF">
      <w:pPr>
        <w:pStyle w:val="2"/>
        <w:topLinePunct/>
        <w:adjustRightInd w:val="0"/>
        <w:snapToGrid w:val="0"/>
        <w:spacing w:line="560" w:lineRule="exact"/>
        <w:ind w:firstLine="640" w:firstLineChars="200"/>
        <w:rPr>
          <w:rFonts w:hint="default" w:ascii="Times New Roman" w:hAnsi="Times New Roman" w:eastAsia="仿宋_GB2312" w:cs="Times New Roman"/>
          <w:b w:val="0"/>
          <w:bCs w:val="0"/>
          <w:i w:val="0"/>
          <w:color w:val="auto"/>
          <w:sz w:val="32"/>
          <w:szCs w:val="32"/>
          <w:highlight w:val="none"/>
          <w:lang w:val="en-US" w:eastAsia="zh-CN" w:bidi="ar-SA"/>
        </w:rPr>
      </w:pPr>
      <w:r>
        <w:rPr>
          <w:rFonts w:hint="default" w:ascii="Times New Roman" w:hAnsi="Times New Roman" w:eastAsia="仿宋_GB2312" w:cs="Times New Roman"/>
          <w:b w:val="0"/>
          <w:bCs w:val="0"/>
          <w:i w:val="0"/>
          <w:color w:val="auto"/>
          <w:sz w:val="32"/>
          <w:szCs w:val="32"/>
          <w:highlight w:val="none"/>
          <w:lang w:val="en-US" w:eastAsia="zh-CN" w:bidi="ar-SA"/>
        </w:rPr>
        <w:t>①项目开工率100%；</w:t>
      </w:r>
    </w:p>
    <w:p w14:paraId="522F895A">
      <w:pPr>
        <w:pStyle w:val="2"/>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i w:val="0"/>
          <w:color w:val="auto"/>
          <w:sz w:val="32"/>
          <w:szCs w:val="32"/>
          <w:highlight w:val="none"/>
          <w:lang w:val="en-US" w:eastAsia="zh-CN" w:bidi="ar-SA"/>
        </w:rPr>
      </w:pPr>
      <w:r>
        <w:rPr>
          <w:rFonts w:hint="default" w:ascii="Times New Roman" w:hAnsi="Times New Roman" w:eastAsia="仿宋_GB2312" w:cs="Times New Roman"/>
          <w:b w:val="0"/>
          <w:bCs w:val="0"/>
          <w:i w:val="0"/>
          <w:color w:val="auto"/>
          <w:sz w:val="32"/>
          <w:szCs w:val="32"/>
          <w:highlight w:val="none"/>
          <w:lang w:val="en-US" w:eastAsia="zh-CN" w:bidi="ar-SA"/>
        </w:rPr>
        <w:t>②项目完工率≥20%。</w:t>
      </w:r>
    </w:p>
    <w:p w14:paraId="25BB09C4">
      <w:pPr>
        <w:pStyle w:val="2"/>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val="0"/>
          <w:bCs w:val="0"/>
          <w:color w:val="auto"/>
          <w:szCs w:val="32"/>
          <w:highlight w:val="none"/>
          <w:lang w:val="en-US" w:eastAsia="zh-CN"/>
        </w:rPr>
      </w:pPr>
      <w:r>
        <w:rPr>
          <w:rFonts w:hint="default" w:ascii="Times New Roman" w:hAnsi="Times New Roman" w:eastAsia="仿宋_GB2312" w:cs="Times New Roman"/>
          <w:b/>
          <w:bCs/>
          <w:i w:val="0"/>
          <w:color w:val="auto"/>
          <w:sz w:val="32"/>
          <w:szCs w:val="32"/>
          <w:highlight w:val="none"/>
          <w:lang w:val="en-US" w:eastAsia="zh-CN" w:bidi="ar-SA"/>
        </w:rPr>
        <w:t>3.效益指标，</w:t>
      </w:r>
      <w:r>
        <w:rPr>
          <w:rFonts w:hint="default" w:ascii="Times New Roman" w:hAnsi="Times New Roman" w:eastAsia="仿宋_GB2312" w:cs="Times New Roman"/>
          <w:b w:val="0"/>
          <w:bCs w:val="0"/>
          <w:i w:val="0"/>
          <w:color w:val="auto"/>
          <w:sz w:val="32"/>
          <w:szCs w:val="32"/>
          <w:highlight w:val="none"/>
          <w:lang w:val="en-US" w:eastAsia="zh-CN" w:bidi="ar-SA"/>
        </w:rPr>
        <w:t>生态效益指标：土壤污染风险隐患基本消除。</w:t>
      </w:r>
    </w:p>
    <w:p w14:paraId="7FB685F5">
      <w:pPr>
        <w:pStyle w:val="2"/>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val="0"/>
          <w:bCs w:val="0"/>
          <w:i w:val="0"/>
          <w:color w:val="auto"/>
          <w:sz w:val="32"/>
          <w:szCs w:val="32"/>
          <w:highlight w:val="none"/>
          <w:lang w:val="en-US" w:eastAsia="zh-CN" w:bidi="ar-SA"/>
        </w:rPr>
      </w:pPr>
      <w:r>
        <w:rPr>
          <w:rFonts w:hint="default" w:ascii="Times New Roman" w:hAnsi="Times New Roman" w:eastAsia="仿宋_GB2312" w:cs="Times New Roman"/>
          <w:b/>
          <w:bCs/>
          <w:i w:val="0"/>
          <w:color w:val="auto"/>
          <w:sz w:val="32"/>
          <w:szCs w:val="32"/>
          <w:highlight w:val="none"/>
          <w:lang w:val="en-US" w:eastAsia="zh-CN" w:bidi="ar-SA"/>
        </w:rPr>
        <w:t>4.满意度指标，</w:t>
      </w:r>
      <w:r>
        <w:rPr>
          <w:rFonts w:hint="default" w:ascii="Times New Roman" w:hAnsi="Times New Roman" w:eastAsia="仿宋_GB2312" w:cs="Times New Roman"/>
          <w:b w:val="0"/>
          <w:bCs w:val="0"/>
          <w:i w:val="0"/>
          <w:color w:val="auto"/>
          <w:sz w:val="32"/>
          <w:szCs w:val="32"/>
          <w:highlight w:val="none"/>
          <w:lang w:val="en-US" w:eastAsia="zh-CN" w:bidi="ar-SA"/>
        </w:rPr>
        <w:t>服务对象满意度指标：群众满意度≥90%。</w:t>
      </w:r>
    </w:p>
    <w:p w14:paraId="13505AB5">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i w:val="0"/>
          <w:color w:val="auto"/>
          <w:sz w:val="32"/>
          <w:szCs w:val="32"/>
          <w:highlight w:val="none"/>
          <w:lang w:val="en-US" w:eastAsia="zh-CN" w:bidi="ar-SA"/>
        </w:rPr>
      </w:pPr>
      <w:r>
        <w:rPr>
          <w:rFonts w:hint="default" w:ascii="Times New Roman" w:hAnsi="Times New Roman" w:eastAsia="黑体" w:cs="Times New Roman"/>
          <w:i w:val="0"/>
          <w:color w:val="auto"/>
          <w:sz w:val="32"/>
          <w:szCs w:val="32"/>
          <w:highlight w:val="none"/>
          <w:lang w:val="en-US" w:eastAsia="zh-CN" w:bidi="ar-SA"/>
        </w:rPr>
        <w:t>二、绩效情况分析</w:t>
      </w:r>
    </w:p>
    <w:p w14:paraId="5C3BC077">
      <w:pPr>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bidi="ar-SA"/>
        </w:rPr>
      </w:pPr>
      <w:r>
        <w:rPr>
          <w:rFonts w:hint="default" w:ascii="Times New Roman" w:hAnsi="Times New Roman" w:eastAsia="楷体_GB2312" w:cs="Times New Roman"/>
          <w:b/>
          <w:bCs/>
          <w:i w:val="0"/>
          <w:color w:val="auto"/>
          <w:sz w:val="32"/>
          <w:szCs w:val="32"/>
          <w:highlight w:val="none"/>
          <w:lang w:val="en-US" w:eastAsia="zh-CN" w:bidi="ar-SA"/>
        </w:rPr>
        <w:t>（一）资金投入情况分析</w:t>
      </w:r>
    </w:p>
    <w:p w14:paraId="0A244073">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default" w:ascii="Times New Roman" w:hAnsi="Times New Roman" w:eastAsia="仿宋" w:cs="Times New Roman"/>
          <w:color w:val="auto"/>
          <w:sz w:val="32"/>
          <w:szCs w:val="32"/>
          <w:highlight w:val="none"/>
          <w:lang w:val="en-US" w:eastAsia="zh-CN" w:bidi="ar-SA"/>
        </w:rPr>
      </w:pPr>
      <w:r>
        <w:rPr>
          <w:rFonts w:hint="default" w:ascii="Times New Roman" w:hAnsi="Times New Roman" w:cs="Times New Roman"/>
          <w:color w:val="auto"/>
          <w:sz w:val="32"/>
          <w:szCs w:val="32"/>
          <w:highlight w:val="none"/>
          <w:lang w:val="en-US" w:eastAsia="zh-CN" w:bidi="ar-SA"/>
        </w:rPr>
        <w:t>福建</w:t>
      </w:r>
      <w:r>
        <w:rPr>
          <w:rFonts w:hint="default" w:ascii="Times New Roman" w:hAnsi="Times New Roman" w:eastAsia="仿宋" w:cs="Times New Roman"/>
          <w:color w:val="auto"/>
          <w:sz w:val="32"/>
          <w:szCs w:val="32"/>
          <w:highlight w:val="none"/>
          <w:lang w:val="en-US" w:eastAsia="zh-CN" w:bidi="ar-SA"/>
        </w:rPr>
        <w:t>省财政厅</w:t>
      </w:r>
      <w:r>
        <w:rPr>
          <w:rFonts w:hint="default" w:ascii="Times New Roman" w:hAnsi="Times New Roman" w:cs="Times New Roman"/>
          <w:color w:val="auto"/>
          <w:sz w:val="32"/>
          <w:szCs w:val="32"/>
          <w:highlight w:val="none"/>
          <w:lang w:val="en-US" w:eastAsia="zh-CN" w:bidi="ar-SA"/>
        </w:rPr>
        <w:t>、</w:t>
      </w:r>
      <w:r>
        <w:rPr>
          <w:rFonts w:hint="default" w:ascii="Times New Roman" w:hAnsi="Times New Roman" w:eastAsia="仿宋" w:cs="Times New Roman"/>
          <w:color w:val="auto"/>
          <w:sz w:val="32"/>
          <w:szCs w:val="32"/>
          <w:highlight w:val="none"/>
          <w:lang w:val="en-US" w:eastAsia="zh-CN" w:bidi="ar-SA"/>
        </w:rPr>
        <w:t>生态环境厅</w:t>
      </w:r>
      <w:r>
        <w:rPr>
          <w:rFonts w:hint="default" w:ascii="Times New Roman" w:hAnsi="Times New Roman" w:cs="Times New Roman"/>
          <w:color w:val="auto"/>
          <w:sz w:val="32"/>
          <w:szCs w:val="32"/>
          <w:highlight w:val="none"/>
          <w:lang w:val="en-US" w:eastAsia="zh-CN" w:bidi="ar-SA"/>
        </w:rPr>
        <w:t>《关于提前下达2025年中央土壤污染防治资金预算的通知》（闽财资环指〔2024〕58号）、《关于下达2025年第二批中央土壤污染防治资金预算的通知》（闽财资环指〔2025〕23号）下达我市2025年中央土壤污染防治资金620万元，</w:t>
      </w:r>
      <w:r>
        <w:rPr>
          <w:rFonts w:hint="default" w:ascii="Times New Roman" w:hAnsi="Times New Roman" w:eastAsia="仿宋" w:cs="Times New Roman"/>
          <w:color w:val="auto"/>
          <w:sz w:val="32"/>
          <w:szCs w:val="32"/>
          <w:highlight w:val="none"/>
          <w:lang w:val="zh-TW" w:eastAsia="zh-CN" w:bidi="ar-SA"/>
        </w:rPr>
        <w:t>支持石狮市大堡集控区电镀污水收集管网明管架空改造项目</w:t>
      </w:r>
      <w:r>
        <w:rPr>
          <w:rFonts w:hint="default" w:ascii="Times New Roman" w:hAnsi="Times New Roman" w:cs="Times New Roman"/>
          <w:color w:val="auto"/>
          <w:sz w:val="32"/>
          <w:szCs w:val="32"/>
          <w:highlight w:val="none"/>
          <w:lang w:val="zh-TW" w:eastAsia="zh-CN" w:bidi="ar-SA"/>
        </w:rPr>
        <w:t>、</w:t>
      </w:r>
      <w:r>
        <w:rPr>
          <w:rFonts w:hint="default" w:ascii="Times New Roman" w:hAnsi="Times New Roman" w:eastAsia="仿宋" w:cs="Times New Roman"/>
          <w:color w:val="auto"/>
          <w:sz w:val="32"/>
          <w:szCs w:val="32"/>
          <w:highlight w:val="none"/>
          <w:lang w:val="zh-TW" w:eastAsia="zh-CN" w:bidi="ar-SA"/>
        </w:rPr>
        <w:t>南安华源电镀集控区土壤污染源头防控项目</w:t>
      </w:r>
      <w:r>
        <w:rPr>
          <w:rFonts w:hint="default" w:ascii="Times New Roman" w:hAnsi="Times New Roman" w:cs="Times New Roman"/>
          <w:color w:val="auto"/>
          <w:sz w:val="32"/>
          <w:szCs w:val="32"/>
          <w:highlight w:val="none"/>
          <w:lang w:val="en-US" w:eastAsia="zh-CN" w:bidi="ar-SA"/>
        </w:rPr>
        <w:t>。</w:t>
      </w:r>
    </w:p>
    <w:p w14:paraId="0E4AFACB">
      <w:pPr>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bidi="ar-SA"/>
        </w:rPr>
      </w:pPr>
      <w:r>
        <w:rPr>
          <w:rFonts w:hint="default" w:ascii="Times New Roman" w:hAnsi="Times New Roman" w:eastAsia="楷体_GB2312" w:cs="Times New Roman"/>
          <w:b/>
          <w:bCs/>
          <w:color w:val="auto"/>
          <w:sz w:val="32"/>
          <w:szCs w:val="32"/>
          <w:highlight w:val="none"/>
          <w:lang w:val="en-US" w:eastAsia="zh-CN" w:bidi="ar-SA"/>
        </w:rPr>
        <w:t>（二）资金管理情况分析</w:t>
      </w:r>
    </w:p>
    <w:p w14:paraId="00151354">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default" w:ascii="Times New Roman" w:hAnsi="Times New Roman" w:cs="Times New Roman"/>
          <w:b w:val="0"/>
          <w:bCs w:val="0"/>
          <w:color w:val="auto"/>
          <w:sz w:val="32"/>
          <w:szCs w:val="32"/>
          <w:highlight w:val="none"/>
          <w:lang w:val="en-US" w:eastAsia="zh-CN"/>
        </w:rPr>
      </w:pPr>
      <w:r>
        <w:rPr>
          <w:rFonts w:hint="default" w:ascii="Times New Roman" w:hAnsi="Times New Roman" w:cs="Times New Roman"/>
          <w:b w:val="0"/>
          <w:bCs w:val="0"/>
          <w:color w:val="auto"/>
          <w:sz w:val="32"/>
          <w:szCs w:val="32"/>
          <w:highlight w:val="none"/>
          <w:lang w:val="en-US" w:eastAsia="zh-CN"/>
        </w:rPr>
        <w:t>收到2025年中央土壤污染防治资金后，我市及时以</w:t>
      </w:r>
      <w:r>
        <w:rPr>
          <w:rFonts w:hint="default" w:ascii="Times New Roman" w:hAnsi="Times New Roman" w:eastAsia="仿宋" w:cs="Times New Roman"/>
          <w:color w:val="auto"/>
          <w:kern w:val="2"/>
          <w:sz w:val="32"/>
          <w:szCs w:val="32"/>
          <w:highlight w:val="none"/>
          <w:lang w:val="en-US" w:eastAsia="zh-CN" w:bidi="ar-SA"/>
        </w:rPr>
        <w:t>泉财</w:t>
      </w:r>
      <w:r>
        <w:rPr>
          <w:rFonts w:hint="default" w:ascii="Times New Roman" w:hAnsi="Times New Roman" w:cs="Times New Roman"/>
          <w:color w:val="auto"/>
          <w:kern w:val="2"/>
          <w:sz w:val="32"/>
          <w:szCs w:val="32"/>
          <w:highlight w:val="none"/>
          <w:lang w:val="en-US" w:eastAsia="zh-CN" w:bidi="ar-SA"/>
        </w:rPr>
        <w:t>建指</w:t>
      </w:r>
      <w:r>
        <w:rPr>
          <w:rFonts w:hint="default" w:ascii="Times New Roman" w:hAnsi="Times New Roman" w:eastAsia="仿宋" w:cs="Times New Roman"/>
          <w:color w:val="auto"/>
          <w:kern w:val="2"/>
          <w:sz w:val="32"/>
          <w:szCs w:val="32"/>
          <w:highlight w:val="none"/>
          <w:lang w:val="en-US" w:eastAsia="zh-CN" w:bidi="ar-SA"/>
        </w:rPr>
        <w:t>〔</w:t>
      </w:r>
      <w:r>
        <w:rPr>
          <w:rFonts w:hint="default" w:ascii="Times New Roman" w:hAnsi="Times New Roman" w:cs="Times New Roman"/>
          <w:color w:val="auto"/>
          <w:kern w:val="2"/>
          <w:sz w:val="32"/>
          <w:szCs w:val="32"/>
          <w:highlight w:val="none"/>
          <w:lang w:val="en-US" w:eastAsia="zh-CN" w:bidi="ar-SA"/>
        </w:rPr>
        <w:t>2025</w:t>
      </w:r>
      <w:r>
        <w:rPr>
          <w:rFonts w:hint="default" w:ascii="Times New Roman" w:hAnsi="Times New Roman" w:eastAsia="仿宋" w:cs="Times New Roman"/>
          <w:color w:val="auto"/>
          <w:kern w:val="2"/>
          <w:sz w:val="32"/>
          <w:szCs w:val="32"/>
          <w:highlight w:val="none"/>
          <w:lang w:val="en-US" w:eastAsia="zh-CN" w:bidi="ar-SA"/>
        </w:rPr>
        <w:t>〕</w:t>
      </w:r>
      <w:r>
        <w:rPr>
          <w:rFonts w:hint="default" w:ascii="Times New Roman" w:hAnsi="Times New Roman" w:cs="Times New Roman"/>
          <w:color w:val="auto"/>
          <w:kern w:val="2"/>
          <w:sz w:val="32"/>
          <w:szCs w:val="32"/>
          <w:highlight w:val="none"/>
          <w:lang w:val="en-US" w:eastAsia="zh-CN" w:bidi="ar-SA"/>
        </w:rPr>
        <w:t>12</w:t>
      </w:r>
      <w:r>
        <w:rPr>
          <w:rFonts w:hint="default" w:ascii="Times New Roman" w:hAnsi="Times New Roman" w:eastAsia="仿宋" w:cs="Times New Roman"/>
          <w:color w:val="auto"/>
          <w:kern w:val="2"/>
          <w:sz w:val="32"/>
          <w:szCs w:val="32"/>
          <w:highlight w:val="none"/>
          <w:lang w:val="en-US" w:eastAsia="zh-CN" w:bidi="ar-SA"/>
        </w:rPr>
        <w:t>号</w:t>
      </w:r>
      <w:r>
        <w:rPr>
          <w:rFonts w:hint="default" w:ascii="Times New Roman" w:hAnsi="Times New Roman" w:cs="Times New Roman"/>
          <w:color w:val="auto"/>
          <w:kern w:val="2"/>
          <w:sz w:val="32"/>
          <w:szCs w:val="32"/>
          <w:highlight w:val="none"/>
          <w:lang w:val="en-US" w:eastAsia="zh-CN" w:bidi="ar-SA"/>
        </w:rPr>
        <w:t>、泉财综指〔2025〕59号</w:t>
      </w:r>
      <w:r>
        <w:rPr>
          <w:rFonts w:hint="default" w:ascii="Times New Roman" w:hAnsi="Times New Roman" w:cs="Times New Roman"/>
          <w:b w:val="0"/>
          <w:bCs w:val="0"/>
          <w:color w:val="auto"/>
          <w:sz w:val="32"/>
          <w:szCs w:val="32"/>
          <w:highlight w:val="none"/>
          <w:lang w:val="en-US" w:eastAsia="zh-CN"/>
        </w:rPr>
        <w:t>及时下达给项目县（市、区），2个项目资金已全部拨付给项目单位，</w:t>
      </w:r>
      <w:r>
        <w:rPr>
          <w:rFonts w:hint="default" w:ascii="Times New Roman" w:hAnsi="Times New Roman" w:cs="Times New Roman"/>
          <w:color w:val="auto"/>
          <w:sz w:val="32"/>
          <w:szCs w:val="32"/>
          <w:highlight w:val="none"/>
          <w:lang w:val="en-US" w:eastAsia="zh-CN" w:bidi="ar-SA"/>
        </w:rPr>
        <w:t>执行率100%</w:t>
      </w:r>
      <w:r>
        <w:rPr>
          <w:rFonts w:hint="default" w:ascii="Times New Roman" w:hAnsi="Times New Roman" w:eastAsia="仿宋" w:cs="Times New Roman"/>
          <w:color w:val="auto"/>
          <w:sz w:val="32"/>
          <w:szCs w:val="32"/>
          <w:highlight w:val="none"/>
          <w:lang w:val="en-US" w:eastAsia="zh-CN" w:bidi="ar-SA"/>
        </w:rPr>
        <w:t>。</w:t>
      </w:r>
      <w:r>
        <w:rPr>
          <w:rFonts w:hint="default" w:ascii="Times New Roman" w:hAnsi="Times New Roman" w:cs="Times New Roman"/>
          <w:b w:val="0"/>
          <w:bCs w:val="0"/>
          <w:color w:val="auto"/>
          <w:sz w:val="32"/>
          <w:szCs w:val="32"/>
          <w:highlight w:val="none"/>
          <w:lang w:val="en-US" w:eastAsia="zh-CN"/>
        </w:rPr>
        <w:t>项目资金均能专款专用</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cs="Times New Roman"/>
          <w:b w:val="0"/>
          <w:bCs w:val="0"/>
          <w:color w:val="auto"/>
          <w:sz w:val="32"/>
          <w:szCs w:val="32"/>
          <w:highlight w:val="none"/>
          <w:lang w:val="en-US" w:eastAsia="zh-CN"/>
        </w:rPr>
        <w:t>建立专门的资金管理台账，</w:t>
      </w:r>
      <w:r>
        <w:rPr>
          <w:rFonts w:hint="default" w:ascii="Times New Roman" w:hAnsi="Times New Roman" w:eastAsia="仿宋" w:cs="Times New Roman"/>
          <w:color w:val="auto"/>
          <w:kern w:val="2"/>
          <w:sz w:val="32"/>
          <w:szCs w:val="32"/>
          <w:highlight w:val="none"/>
          <w:lang w:val="en-US" w:eastAsia="zh-CN" w:bidi="ar-SA"/>
        </w:rPr>
        <w:t>项目单位按合同及项目进度进行支付</w:t>
      </w:r>
      <w:r>
        <w:rPr>
          <w:rFonts w:hint="default" w:ascii="Times New Roman" w:hAnsi="Times New Roman" w:cs="Times New Roman"/>
          <w:b w:val="0"/>
          <w:bCs w:val="0"/>
          <w:color w:val="auto"/>
          <w:sz w:val="32"/>
          <w:szCs w:val="32"/>
          <w:highlight w:val="none"/>
          <w:lang w:val="en-US" w:eastAsia="zh-CN"/>
        </w:rPr>
        <w:t>。</w:t>
      </w:r>
    </w:p>
    <w:p w14:paraId="46FF00B1">
      <w:pPr>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bidi="ar-SA"/>
        </w:rPr>
      </w:pPr>
      <w:r>
        <w:rPr>
          <w:rFonts w:hint="default" w:ascii="Times New Roman" w:hAnsi="Times New Roman" w:eastAsia="楷体_GB2312" w:cs="Times New Roman"/>
          <w:b/>
          <w:bCs/>
          <w:color w:val="auto"/>
          <w:sz w:val="32"/>
          <w:szCs w:val="32"/>
          <w:highlight w:val="none"/>
          <w:lang w:val="en-US" w:eastAsia="zh-CN" w:bidi="ar-SA"/>
        </w:rPr>
        <w:t>（三）总体绩效目标完成情况分析</w:t>
      </w:r>
    </w:p>
    <w:p w14:paraId="504EF90E">
      <w:pPr>
        <w:pStyle w:val="2"/>
        <w:topLinePunct/>
        <w:adjustRightInd w:val="0"/>
        <w:snapToGrid w:val="0"/>
        <w:spacing w:line="560" w:lineRule="exact"/>
        <w:ind w:firstLine="640" w:firstLineChars="200"/>
        <w:rPr>
          <w:rFonts w:hint="default" w:ascii="Times New Roman" w:hAnsi="Times New Roman" w:eastAsia="仿宋" w:cs="Times New Roman"/>
          <w:i w:val="0"/>
          <w:color w:val="auto"/>
          <w:kern w:val="2"/>
          <w:sz w:val="32"/>
          <w:szCs w:val="32"/>
          <w:highlight w:val="none"/>
        </w:rPr>
      </w:pPr>
      <w:r>
        <w:rPr>
          <w:rFonts w:hint="default" w:ascii="Times New Roman" w:hAnsi="Times New Roman" w:eastAsia="仿宋" w:cs="Times New Roman"/>
          <w:b w:val="0"/>
          <w:bCs w:val="0"/>
          <w:i w:val="0"/>
          <w:color w:val="auto"/>
          <w:kern w:val="2"/>
          <w:sz w:val="32"/>
          <w:szCs w:val="32"/>
          <w:highlight w:val="none"/>
          <w:lang w:val="en-US" w:eastAsia="zh-CN" w:bidi="ar-SA"/>
        </w:rPr>
        <w:t>受补助的2个企业均按要求开展污水明管化改造等，从源头防控因管线腐蚀、泄露导致污染物进入土壤，完成总体绩效目标。</w:t>
      </w:r>
    </w:p>
    <w:p w14:paraId="47165AA4">
      <w:pPr>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bidi="ar-SA"/>
        </w:rPr>
      </w:pPr>
      <w:r>
        <w:rPr>
          <w:rFonts w:hint="default" w:ascii="Times New Roman" w:hAnsi="Times New Roman" w:eastAsia="楷体_GB2312" w:cs="Times New Roman"/>
          <w:b/>
          <w:bCs/>
          <w:color w:val="auto"/>
          <w:sz w:val="32"/>
          <w:szCs w:val="32"/>
          <w:highlight w:val="none"/>
          <w:lang w:val="en-US" w:eastAsia="zh-CN" w:bidi="ar-SA"/>
        </w:rPr>
        <w:t>（四）绩效指标完成情况分析</w:t>
      </w:r>
    </w:p>
    <w:p w14:paraId="647A01A6">
      <w:pPr>
        <w:pStyle w:val="2"/>
        <w:topLinePunct/>
        <w:adjustRightInd w:val="0"/>
        <w:snapToGrid w:val="0"/>
        <w:spacing w:line="560" w:lineRule="exact"/>
        <w:ind w:firstLine="643" w:firstLineChars="200"/>
        <w:rPr>
          <w:rFonts w:hint="default" w:ascii="Times New Roman" w:hAnsi="Times New Roman" w:eastAsia="仿宋_GB2312" w:cs="Times New Roman"/>
          <w:b/>
          <w:bCs/>
          <w:i w:val="0"/>
          <w:color w:val="auto"/>
          <w:sz w:val="32"/>
          <w:szCs w:val="32"/>
          <w:highlight w:val="none"/>
          <w:lang w:val="en-US" w:eastAsia="zh-CN" w:bidi="ar-SA"/>
        </w:rPr>
      </w:pPr>
      <w:r>
        <w:rPr>
          <w:rFonts w:hint="default" w:ascii="Times New Roman" w:hAnsi="Times New Roman" w:eastAsia="仿宋_GB2312" w:cs="Times New Roman"/>
          <w:b/>
          <w:bCs/>
          <w:i w:val="0"/>
          <w:color w:val="auto"/>
          <w:sz w:val="32"/>
          <w:szCs w:val="32"/>
          <w:highlight w:val="none"/>
          <w:lang w:val="en-US" w:eastAsia="zh-CN" w:bidi="ar-SA"/>
        </w:rPr>
        <w:t>1.</w:t>
      </w:r>
      <w:r>
        <w:rPr>
          <w:rFonts w:hint="eastAsia" w:ascii="Times New Roman" w:hAnsi="Times New Roman" w:eastAsia="仿宋_GB2312" w:cs="Times New Roman"/>
          <w:b/>
          <w:bCs/>
          <w:i w:val="0"/>
          <w:color w:val="auto"/>
          <w:sz w:val="32"/>
          <w:szCs w:val="32"/>
          <w:highlight w:val="none"/>
          <w:lang w:val="en-US" w:eastAsia="zh-CN" w:bidi="ar-SA"/>
        </w:rPr>
        <w:t>成本</w:t>
      </w:r>
      <w:r>
        <w:rPr>
          <w:rFonts w:hint="default" w:ascii="Times New Roman" w:hAnsi="Times New Roman" w:eastAsia="仿宋_GB2312" w:cs="Times New Roman"/>
          <w:b/>
          <w:bCs/>
          <w:i w:val="0"/>
          <w:color w:val="auto"/>
          <w:sz w:val="32"/>
          <w:szCs w:val="32"/>
          <w:highlight w:val="none"/>
          <w:lang w:val="en-US" w:eastAsia="zh-CN" w:bidi="ar-SA"/>
        </w:rPr>
        <w:t>指标完成情况</w:t>
      </w:r>
    </w:p>
    <w:p w14:paraId="08CC2F29">
      <w:pPr>
        <w:pStyle w:val="2"/>
        <w:topLinePunct/>
        <w:adjustRightInd w:val="0"/>
        <w:snapToGrid w:val="0"/>
        <w:spacing w:line="560" w:lineRule="exact"/>
        <w:ind w:firstLine="640" w:firstLineChars="200"/>
        <w:rPr>
          <w:rFonts w:hint="default" w:ascii="Times New Roman" w:hAnsi="Times New Roman" w:eastAsia="仿宋" w:cs="Times New Roman"/>
          <w:b w:val="0"/>
          <w:bCs w:val="0"/>
          <w:i w:val="0"/>
          <w:color w:val="auto"/>
          <w:kern w:val="2"/>
          <w:sz w:val="32"/>
          <w:szCs w:val="32"/>
          <w:highlight w:val="none"/>
          <w:lang w:val="en-US" w:eastAsia="zh-CN" w:bidi="ar-SA"/>
        </w:rPr>
      </w:pPr>
      <w:r>
        <w:rPr>
          <w:rFonts w:hint="eastAsia" w:ascii="Times New Roman" w:hAnsi="Times New Roman" w:cs="Times New Roman"/>
          <w:b w:val="0"/>
          <w:bCs w:val="0"/>
          <w:i w:val="0"/>
          <w:color w:val="auto"/>
          <w:kern w:val="2"/>
          <w:sz w:val="32"/>
          <w:szCs w:val="32"/>
          <w:highlight w:val="none"/>
          <w:lang w:val="en-US" w:eastAsia="zh-CN" w:bidi="ar-SA"/>
        </w:rPr>
        <w:t>2个</w:t>
      </w:r>
      <w:r>
        <w:rPr>
          <w:rFonts w:hint="default" w:ascii="Times New Roman" w:hAnsi="Times New Roman" w:eastAsia="仿宋" w:cs="Times New Roman"/>
          <w:b w:val="0"/>
          <w:bCs w:val="0"/>
          <w:i w:val="0"/>
          <w:color w:val="auto"/>
          <w:kern w:val="2"/>
          <w:sz w:val="32"/>
          <w:szCs w:val="32"/>
          <w:highlight w:val="none"/>
          <w:lang w:val="en-US" w:eastAsia="zh-CN" w:bidi="ar-SA"/>
        </w:rPr>
        <w:t>项目实际投资额均未超过计划投资额，成本控制率</w:t>
      </w:r>
      <w:r>
        <w:rPr>
          <w:rFonts w:hint="eastAsia" w:ascii="Times New Roman" w:hAnsi="Times New Roman" w:cs="Times New Roman"/>
          <w:b w:val="0"/>
          <w:bCs w:val="0"/>
          <w:i w:val="0"/>
          <w:color w:val="auto"/>
          <w:kern w:val="2"/>
          <w:sz w:val="32"/>
          <w:szCs w:val="32"/>
          <w:highlight w:val="none"/>
          <w:lang w:val="en-US" w:eastAsia="zh-CN" w:bidi="ar-SA"/>
        </w:rPr>
        <w:t>≤</w:t>
      </w:r>
      <w:r>
        <w:rPr>
          <w:rFonts w:hint="default" w:ascii="Times New Roman" w:hAnsi="Times New Roman" w:eastAsia="仿宋" w:cs="Times New Roman"/>
          <w:b w:val="0"/>
          <w:bCs w:val="0"/>
          <w:i w:val="0"/>
          <w:color w:val="auto"/>
          <w:kern w:val="2"/>
          <w:sz w:val="32"/>
          <w:szCs w:val="32"/>
          <w:highlight w:val="none"/>
          <w:lang w:val="en-US" w:eastAsia="zh-CN" w:bidi="ar-SA"/>
        </w:rPr>
        <w:t>100%，</w:t>
      </w:r>
      <w:r>
        <w:rPr>
          <w:rFonts w:hint="eastAsia" w:ascii="Times New Roman" w:hAnsi="Times New Roman" w:cs="Times New Roman"/>
          <w:b w:val="0"/>
          <w:bCs w:val="0"/>
          <w:i w:val="0"/>
          <w:color w:val="auto"/>
          <w:kern w:val="2"/>
          <w:sz w:val="32"/>
          <w:szCs w:val="32"/>
          <w:highlight w:val="none"/>
          <w:lang w:val="en-US" w:eastAsia="zh-CN" w:bidi="ar-SA"/>
        </w:rPr>
        <w:t>完成绩效目标</w:t>
      </w:r>
      <w:r>
        <w:rPr>
          <w:rFonts w:hint="default" w:ascii="Times New Roman" w:hAnsi="Times New Roman" w:eastAsia="仿宋" w:cs="Times New Roman"/>
          <w:b w:val="0"/>
          <w:bCs w:val="0"/>
          <w:i w:val="0"/>
          <w:color w:val="auto"/>
          <w:kern w:val="2"/>
          <w:sz w:val="32"/>
          <w:szCs w:val="32"/>
          <w:highlight w:val="none"/>
          <w:lang w:val="en-US" w:eastAsia="zh-CN" w:bidi="ar-SA"/>
        </w:rPr>
        <w:t>。</w:t>
      </w:r>
    </w:p>
    <w:p w14:paraId="118292FB">
      <w:pPr>
        <w:pStyle w:val="2"/>
        <w:topLinePunct/>
        <w:adjustRightInd w:val="0"/>
        <w:snapToGrid w:val="0"/>
        <w:spacing w:line="560" w:lineRule="exact"/>
        <w:ind w:firstLine="643" w:firstLineChars="200"/>
        <w:rPr>
          <w:rFonts w:hint="default" w:ascii="Times New Roman" w:hAnsi="Times New Roman" w:eastAsia="仿宋_GB2312" w:cs="Times New Roman"/>
          <w:b/>
          <w:bCs/>
          <w:i w:val="0"/>
          <w:color w:val="auto"/>
          <w:sz w:val="32"/>
          <w:szCs w:val="32"/>
          <w:highlight w:val="none"/>
          <w:lang w:val="en-US" w:eastAsia="zh-CN" w:bidi="ar-SA"/>
        </w:rPr>
      </w:pPr>
      <w:r>
        <w:rPr>
          <w:rFonts w:hint="eastAsia" w:ascii="Times New Roman" w:hAnsi="Times New Roman" w:eastAsia="仿宋_GB2312" w:cs="Times New Roman"/>
          <w:b/>
          <w:bCs/>
          <w:i w:val="0"/>
          <w:color w:val="auto"/>
          <w:sz w:val="32"/>
          <w:szCs w:val="32"/>
          <w:highlight w:val="none"/>
          <w:lang w:val="en-US" w:eastAsia="zh-CN" w:bidi="ar-SA"/>
        </w:rPr>
        <w:t>2</w:t>
      </w:r>
      <w:r>
        <w:rPr>
          <w:rFonts w:hint="default" w:ascii="Times New Roman" w:hAnsi="Times New Roman" w:eastAsia="仿宋_GB2312" w:cs="Times New Roman"/>
          <w:b/>
          <w:bCs/>
          <w:i w:val="0"/>
          <w:color w:val="auto"/>
          <w:sz w:val="32"/>
          <w:szCs w:val="32"/>
          <w:highlight w:val="none"/>
          <w:lang w:val="en-US" w:eastAsia="zh-CN" w:bidi="ar-SA"/>
        </w:rPr>
        <w:t>.产出指标完成情况</w:t>
      </w:r>
    </w:p>
    <w:p w14:paraId="123FE641">
      <w:pPr>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val="0"/>
          <w:bCs w:val="0"/>
          <w:i w:val="0"/>
          <w:color w:val="auto"/>
          <w:szCs w:val="32"/>
          <w:highlight w:val="none"/>
          <w:lang w:val="en-US" w:eastAsia="zh-CN"/>
        </w:rPr>
      </w:pPr>
      <w:r>
        <w:rPr>
          <w:rFonts w:hint="default" w:ascii="Times New Roman" w:hAnsi="Times New Roman" w:eastAsia="仿宋_GB2312" w:cs="Times New Roman"/>
          <w:b/>
          <w:bCs/>
          <w:i w:val="0"/>
          <w:color w:val="auto"/>
          <w:sz w:val="32"/>
          <w:szCs w:val="32"/>
          <w:highlight w:val="none"/>
          <w:lang w:val="en-US" w:eastAsia="zh-CN" w:bidi="ar-SA"/>
        </w:rPr>
        <w:t>（1）数量指标完成情况：</w:t>
      </w:r>
      <w:r>
        <w:rPr>
          <w:rFonts w:hint="default" w:ascii="Times New Roman" w:hAnsi="Times New Roman" w:eastAsia="仿宋_GB2312" w:cs="Times New Roman"/>
          <w:b w:val="0"/>
          <w:bCs w:val="0"/>
          <w:i w:val="0"/>
          <w:color w:val="auto"/>
          <w:szCs w:val="32"/>
          <w:highlight w:val="none"/>
          <w:lang w:val="en-US" w:eastAsia="zh-CN"/>
        </w:rPr>
        <w:t>已实施</w:t>
      </w:r>
      <w:r>
        <w:rPr>
          <w:rFonts w:hint="default" w:ascii="Times New Roman" w:hAnsi="Times New Roman" w:eastAsia="仿宋_GB2312" w:cs="Times New Roman"/>
          <w:b w:val="0"/>
          <w:bCs w:val="0"/>
          <w:color w:val="auto"/>
          <w:sz w:val="32"/>
          <w:szCs w:val="32"/>
          <w:highlight w:val="none"/>
          <w:lang w:val="zh-TW" w:eastAsia="zh-CN" w:bidi="ar-SA"/>
        </w:rPr>
        <w:t>项目</w:t>
      </w:r>
      <w:r>
        <w:rPr>
          <w:rFonts w:hint="default" w:ascii="Times New Roman" w:hAnsi="Times New Roman" w:eastAsia="仿宋_GB2312" w:cs="Times New Roman"/>
          <w:b w:val="0"/>
          <w:bCs w:val="0"/>
          <w:i w:val="0"/>
          <w:color w:val="auto"/>
          <w:kern w:val="2"/>
          <w:sz w:val="32"/>
          <w:szCs w:val="32"/>
          <w:highlight w:val="none"/>
          <w:lang w:val="en-US" w:eastAsia="zh-CN" w:bidi="ar-SA"/>
        </w:rPr>
        <w:t>2</w:t>
      </w:r>
      <w:r>
        <w:rPr>
          <w:rFonts w:hint="default" w:ascii="Times New Roman" w:hAnsi="Times New Roman" w:eastAsia="仿宋_GB2312" w:cs="Times New Roman"/>
          <w:b w:val="0"/>
          <w:bCs w:val="0"/>
          <w:i w:val="0"/>
          <w:color w:val="auto"/>
          <w:szCs w:val="32"/>
          <w:highlight w:val="none"/>
          <w:lang w:val="en-US" w:eastAsia="zh-CN"/>
        </w:rPr>
        <w:t>个。</w:t>
      </w:r>
      <w:r>
        <w:rPr>
          <w:rFonts w:hint="default" w:ascii="Times New Roman" w:hAnsi="Times New Roman" w:eastAsia="仿宋_GB2312" w:cs="Times New Roman"/>
          <w:b w:val="0"/>
          <w:bCs w:val="0"/>
          <w:i w:val="0"/>
          <w:color w:val="auto"/>
          <w:sz w:val="32"/>
          <w:szCs w:val="32"/>
          <w:highlight w:val="none"/>
          <w:lang w:val="en-US" w:eastAsia="zh-CN" w:bidi="ar-SA"/>
        </w:rPr>
        <w:t>完成绩效指标。</w:t>
      </w:r>
    </w:p>
    <w:p w14:paraId="6B738366">
      <w:pPr>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bCs/>
          <w:i w:val="0"/>
          <w:color w:val="auto"/>
          <w:sz w:val="32"/>
          <w:szCs w:val="32"/>
          <w:highlight w:val="none"/>
          <w:lang w:val="en-US" w:eastAsia="zh-CN" w:bidi="ar-SA"/>
        </w:rPr>
      </w:pPr>
      <w:r>
        <w:rPr>
          <w:rFonts w:hint="default" w:ascii="Times New Roman" w:hAnsi="Times New Roman" w:eastAsia="仿宋_GB2312" w:cs="Times New Roman"/>
          <w:b/>
          <w:bCs/>
          <w:i w:val="0"/>
          <w:color w:val="auto"/>
          <w:sz w:val="32"/>
          <w:szCs w:val="32"/>
          <w:highlight w:val="none"/>
          <w:lang w:val="en-US" w:eastAsia="zh-CN" w:bidi="ar-SA"/>
        </w:rPr>
        <w:t>（2）质量指标完成情况</w:t>
      </w:r>
    </w:p>
    <w:p w14:paraId="5C86C1C9">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i w:val="0"/>
          <w:color w:val="auto"/>
          <w:sz w:val="32"/>
          <w:szCs w:val="32"/>
          <w:highlight w:val="none"/>
          <w:lang w:val="en-US" w:eastAsia="zh-CN" w:bidi="ar-SA"/>
        </w:rPr>
      </w:pPr>
      <w:r>
        <w:rPr>
          <w:rFonts w:hint="default" w:ascii="Times New Roman" w:hAnsi="Times New Roman" w:eastAsia="仿宋_GB2312" w:cs="Times New Roman"/>
          <w:b w:val="0"/>
          <w:bCs w:val="0"/>
          <w:color w:val="auto"/>
          <w:sz w:val="32"/>
          <w:szCs w:val="32"/>
          <w:highlight w:val="none"/>
          <w:lang w:val="zh-TW" w:eastAsia="zh-CN" w:bidi="ar-SA"/>
        </w:rPr>
        <w:t>石狮市大堡集控区电镀污水收集管网明管架空改造项目已完成全部建设任务并投入运行，目前处于验收阶段</w:t>
      </w:r>
      <w:r>
        <w:rPr>
          <w:rFonts w:hint="default" w:ascii="Times New Roman" w:hAnsi="Times New Roman" w:eastAsia="仿宋_GB2312" w:cs="Times New Roman"/>
          <w:b w:val="0"/>
          <w:bCs w:val="0"/>
          <w:i w:val="0"/>
          <w:color w:val="auto"/>
          <w:sz w:val="32"/>
          <w:szCs w:val="32"/>
          <w:highlight w:val="none"/>
          <w:lang w:val="en-US" w:eastAsia="zh-CN" w:bidi="ar-SA"/>
        </w:rPr>
        <w:t>，预计可通过验收。</w:t>
      </w:r>
    </w:p>
    <w:p w14:paraId="55925609">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i w:val="0"/>
          <w:color w:val="auto"/>
          <w:sz w:val="32"/>
          <w:szCs w:val="32"/>
          <w:highlight w:val="none"/>
          <w:lang w:val="en-US" w:eastAsia="zh-CN" w:bidi="ar-SA"/>
        </w:rPr>
      </w:pPr>
      <w:r>
        <w:rPr>
          <w:rFonts w:hint="default" w:ascii="Times New Roman" w:hAnsi="Times New Roman" w:eastAsia="仿宋_GB2312" w:cs="Times New Roman"/>
          <w:b w:val="0"/>
          <w:bCs w:val="0"/>
          <w:color w:val="auto"/>
          <w:sz w:val="32"/>
          <w:szCs w:val="32"/>
          <w:highlight w:val="none"/>
          <w:lang w:val="zh-TW" w:eastAsia="zh-CN" w:bidi="ar-SA"/>
        </w:rPr>
        <w:t>南安华源电镀集控区土壤污染源头防控项目</w:t>
      </w:r>
      <w:r>
        <w:rPr>
          <w:rFonts w:hint="default" w:ascii="Times New Roman" w:hAnsi="Times New Roman" w:eastAsia="仿宋_GB2312" w:cs="Times New Roman"/>
          <w:b w:val="0"/>
          <w:bCs w:val="0"/>
          <w:i w:val="0"/>
          <w:color w:val="auto"/>
          <w:sz w:val="32"/>
          <w:szCs w:val="32"/>
          <w:highlight w:val="none"/>
          <w:lang w:val="en-US" w:eastAsia="zh-CN" w:bidi="ar-SA"/>
        </w:rPr>
        <w:t>项目已完成竣工验收，项目验收合格率100%。完成绩效指标。</w:t>
      </w:r>
    </w:p>
    <w:p w14:paraId="2E7F6D56">
      <w:pPr>
        <w:topLinePunct/>
        <w:adjustRightInd w:val="0"/>
        <w:snapToGrid w:val="0"/>
        <w:spacing w:line="560" w:lineRule="exact"/>
        <w:ind w:firstLine="643" w:firstLineChars="200"/>
        <w:rPr>
          <w:rFonts w:hint="default" w:ascii="Times New Roman" w:hAnsi="Times New Roman" w:eastAsia="仿宋_GB2312" w:cs="Times New Roman"/>
          <w:b/>
          <w:bCs/>
          <w:i w:val="0"/>
          <w:color w:val="auto"/>
          <w:sz w:val="32"/>
          <w:szCs w:val="32"/>
          <w:highlight w:val="none"/>
          <w:lang w:val="en-US" w:eastAsia="zh-CN" w:bidi="ar-SA"/>
        </w:rPr>
      </w:pPr>
      <w:r>
        <w:rPr>
          <w:rFonts w:hint="default" w:ascii="Times New Roman" w:hAnsi="Times New Roman" w:eastAsia="仿宋_GB2312" w:cs="Times New Roman"/>
          <w:b/>
          <w:bCs/>
          <w:i w:val="0"/>
          <w:color w:val="auto"/>
          <w:sz w:val="32"/>
          <w:szCs w:val="32"/>
          <w:highlight w:val="none"/>
          <w:lang w:val="en-US" w:eastAsia="zh-CN" w:bidi="ar-SA"/>
        </w:rPr>
        <w:t>（3）时效指标完成情况</w:t>
      </w:r>
    </w:p>
    <w:p w14:paraId="2605D3D4">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i w:val="0"/>
          <w:color w:val="auto"/>
          <w:sz w:val="32"/>
          <w:szCs w:val="32"/>
          <w:highlight w:val="none"/>
          <w:lang w:val="en-US" w:eastAsia="zh-CN" w:bidi="ar-SA"/>
        </w:rPr>
      </w:pPr>
      <w:r>
        <w:rPr>
          <w:rFonts w:hint="default" w:ascii="Times New Roman" w:hAnsi="Times New Roman" w:eastAsia="仿宋_GB2312" w:cs="Times New Roman"/>
          <w:b w:val="0"/>
          <w:bCs w:val="0"/>
          <w:i w:val="0"/>
          <w:color w:val="auto"/>
          <w:sz w:val="32"/>
          <w:szCs w:val="32"/>
          <w:highlight w:val="none"/>
          <w:lang w:val="en-US" w:eastAsia="zh-CN" w:bidi="ar-SA"/>
        </w:rPr>
        <w:t>①支持的2个项目已开工，开工率100%。完成绩效指标。</w:t>
      </w:r>
    </w:p>
    <w:p w14:paraId="6D454CD6">
      <w:pPr>
        <w:widowControl/>
        <w:topLinePunct/>
        <w:adjustRightInd w:val="0"/>
        <w:snapToGrid w:val="0"/>
        <w:spacing w:line="560" w:lineRule="exact"/>
        <w:ind w:firstLine="640" w:firstLineChars="200"/>
        <w:jc w:val="both"/>
        <w:rPr>
          <w:rFonts w:hint="default" w:ascii="Times New Roman" w:hAnsi="Times New Roman" w:eastAsia="仿宋_GB2312" w:cs="Times New Roman"/>
          <w:b w:val="0"/>
          <w:bCs w:val="0"/>
          <w:color w:val="auto"/>
          <w:highlight w:val="none"/>
          <w:lang w:val="en-US" w:eastAsia="zh-CN"/>
        </w:rPr>
      </w:pPr>
      <w:r>
        <w:rPr>
          <w:rFonts w:hint="default" w:ascii="Times New Roman" w:hAnsi="Times New Roman" w:eastAsia="仿宋_GB2312" w:cs="Times New Roman"/>
          <w:b w:val="0"/>
          <w:bCs w:val="0"/>
          <w:i w:val="0"/>
          <w:color w:val="auto"/>
          <w:sz w:val="32"/>
          <w:szCs w:val="32"/>
          <w:highlight w:val="none"/>
          <w:lang w:val="en-US" w:eastAsia="zh-CN" w:bidi="ar-SA"/>
        </w:rPr>
        <w:t>②支持的2个项目已完工，完工率100%。完成绩效指标。</w:t>
      </w:r>
    </w:p>
    <w:p w14:paraId="0A623963">
      <w:pPr>
        <w:pStyle w:val="2"/>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bCs/>
          <w:i w:val="0"/>
          <w:color w:val="auto"/>
          <w:sz w:val="32"/>
          <w:szCs w:val="32"/>
          <w:highlight w:val="none"/>
          <w:lang w:val="en-US" w:eastAsia="zh-CN" w:bidi="ar-SA"/>
        </w:rPr>
      </w:pPr>
      <w:r>
        <w:rPr>
          <w:rFonts w:hint="eastAsia" w:ascii="Times New Roman" w:hAnsi="Times New Roman" w:eastAsia="仿宋_GB2312" w:cs="Times New Roman"/>
          <w:b/>
          <w:bCs/>
          <w:i w:val="0"/>
          <w:color w:val="auto"/>
          <w:sz w:val="32"/>
          <w:szCs w:val="32"/>
          <w:highlight w:val="none"/>
          <w:lang w:val="en-US" w:eastAsia="zh-CN" w:bidi="ar-SA"/>
        </w:rPr>
        <w:t>3</w:t>
      </w:r>
      <w:r>
        <w:rPr>
          <w:rFonts w:hint="default" w:ascii="Times New Roman" w:hAnsi="Times New Roman" w:eastAsia="仿宋_GB2312" w:cs="Times New Roman"/>
          <w:b/>
          <w:bCs/>
          <w:i w:val="0"/>
          <w:color w:val="auto"/>
          <w:sz w:val="32"/>
          <w:szCs w:val="32"/>
          <w:highlight w:val="none"/>
          <w:lang w:val="en-US" w:eastAsia="zh-CN" w:bidi="ar-SA"/>
        </w:rPr>
        <w:t>.效益指标完成情况</w:t>
      </w:r>
    </w:p>
    <w:p w14:paraId="75E0483E">
      <w:pPr>
        <w:topLinePunct/>
        <w:adjustRightInd w:val="0"/>
        <w:snapToGrid w:val="0"/>
        <w:spacing w:line="560" w:lineRule="exact"/>
        <w:ind w:firstLine="640" w:firstLineChars="200"/>
        <w:rPr>
          <w:rFonts w:hint="default" w:ascii="Times New Roman" w:hAnsi="Times New Roman" w:eastAsia="仿宋_GB2312" w:cs="Times New Roman"/>
          <w:b w:val="0"/>
          <w:bCs w:val="0"/>
          <w:i w:val="0"/>
          <w:color w:val="auto"/>
          <w:sz w:val="32"/>
          <w:szCs w:val="32"/>
          <w:highlight w:val="none"/>
          <w:lang w:val="en-US" w:eastAsia="zh-CN" w:bidi="ar-SA"/>
        </w:rPr>
      </w:pPr>
      <w:bookmarkStart w:id="0" w:name="_GoBack"/>
      <w:bookmarkEnd w:id="0"/>
      <w:r>
        <w:rPr>
          <w:rFonts w:hint="default" w:ascii="Times New Roman" w:hAnsi="Times New Roman" w:eastAsia="仿宋_GB2312" w:cs="Times New Roman"/>
          <w:b w:val="0"/>
          <w:bCs w:val="0"/>
          <w:i w:val="0"/>
          <w:color w:val="auto"/>
          <w:sz w:val="32"/>
          <w:szCs w:val="32"/>
          <w:highlight w:val="none"/>
          <w:lang w:val="en-US" w:eastAsia="zh-CN" w:bidi="ar-SA"/>
        </w:rPr>
        <w:t>生态效益指标完成情况：2个项目开展污水明管化改造，可有效防止埋地管线腐蚀、渗漏或防腐层老化导致含重金属废水污染土壤，土壤污染风险隐患基本消除。完成绩效指标。</w:t>
      </w:r>
    </w:p>
    <w:p w14:paraId="23AEC04A">
      <w:pPr>
        <w:pStyle w:val="2"/>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bCs/>
          <w:i w:val="0"/>
          <w:color w:val="auto"/>
          <w:sz w:val="32"/>
          <w:szCs w:val="32"/>
          <w:highlight w:val="none"/>
          <w:lang w:val="en-US" w:eastAsia="zh-CN" w:bidi="ar-SA"/>
        </w:rPr>
      </w:pPr>
      <w:r>
        <w:rPr>
          <w:rFonts w:hint="eastAsia" w:ascii="Times New Roman" w:hAnsi="Times New Roman" w:eastAsia="仿宋_GB2312" w:cs="Times New Roman"/>
          <w:b/>
          <w:bCs/>
          <w:i w:val="0"/>
          <w:color w:val="auto"/>
          <w:sz w:val="32"/>
          <w:szCs w:val="32"/>
          <w:highlight w:val="none"/>
          <w:lang w:val="en-US" w:eastAsia="zh-CN" w:bidi="ar-SA"/>
        </w:rPr>
        <w:t>4</w:t>
      </w:r>
      <w:r>
        <w:rPr>
          <w:rFonts w:hint="default" w:ascii="Times New Roman" w:hAnsi="Times New Roman" w:eastAsia="仿宋_GB2312" w:cs="Times New Roman"/>
          <w:b/>
          <w:bCs/>
          <w:i w:val="0"/>
          <w:color w:val="auto"/>
          <w:sz w:val="32"/>
          <w:szCs w:val="32"/>
          <w:highlight w:val="none"/>
          <w:lang w:val="en-US" w:eastAsia="zh-CN" w:bidi="ar-SA"/>
        </w:rPr>
        <w:t>.满意度指标完成情况</w:t>
      </w:r>
    </w:p>
    <w:p w14:paraId="6B26D8F1">
      <w:pPr>
        <w:topLinePunct/>
        <w:adjustRightInd w:val="0"/>
        <w:snapToGrid w:val="0"/>
        <w:spacing w:line="560" w:lineRule="exact"/>
        <w:ind w:firstLine="640" w:firstLineChars="200"/>
        <w:rPr>
          <w:rFonts w:hint="default" w:ascii="Times New Roman" w:hAnsi="Times New Roman" w:eastAsia="仿宋_GB2312" w:cs="Times New Roman"/>
          <w:b w:val="0"/>
          <w:bCs w:val="0"/>
          <w:color w:val="auto"/>
          <w:sz w:val="32"/>
          <w:szCs w:val="32"/>
          <w:highlight w:val="yellow"/>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经调查，服务对象满意度</w:t>
      </w:r>
      <w:r>
        <w:rPr>
          <w:rFonts w:hint="default" w:ascii="Times New Roman" w:hAnsi="Times New Roman" w:eastAsia="仿宋_GB2312" w:cs="Times New Roman"/>
          <w:b w:val="0"/>
          <w:bCs w:val="0"/>
          <w:i w:val="0"/>
          <w:color w:val="auto"/>
          <w:sz w:val="32"/>
          <w:szCs w:val="32"/>
          <w:highlight w:val="none"/>
          <w:lang w:val="en-US" w:eastAsia="zh-CN" w:bidi="ar-SA"/>
        </w:rPr>
        <w:t>＞90%</w:t>
      </w:r>
      <w:r>
        <w:rPr>
          <w:rFonts w:hint="default" w:ascii="Times New Roman" w:hAnsi="Times New Roman" w:eastAsia="仿宋_GB2312" w:cs="Times New Roman"/>
          <w:b w:val="0"/>
          <w:bCs w:val="0"/>
          <w:color w:val="auto"/>
          <w:kern w:val="2"/>
          <w:sz w:val="32"/>
          <w:szCs w:val="32"/>
          <w:highlight w:val="none"/>
          <w:lang w:val="en-US" w:eastAsia="zh-CN" w:bidi="ar-SA"/>
        </w:rPr>
        <w:t>。完成绩效指标。</w:t>
      </w:r>
    </w:p>
    <w:p w14:paraId="639433F9">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lang w:val="en-US" w:eastAsia="zh-CN" w:bidi="ar-SA"/>
        </w:rPr>
      </w:pPr>
      <w:r>
        <w:rPr>
          <w:rFonts w:hint="default" w:ascii="Times New Roman" w:hAnsi="Times New Roman" w:eastAsia="黑体" w:cs="Times New Roman"/>
          <w:color w:val="auto"/>
          <w:sz w:val="32"/>
          <w:szCs w:val="32"/>
          <w:highlight w:val="none"/>
          <w:lang w:val="en-US" w:eastAsia="zh-CN" w:bidi="ar-SA"/>
        </w:rPr>
        <w:t>三、偏离绩效目标的原因和下一步改进措施</w:t>
      </w:r>
    </w:p>
    <w:p w14:paraId="2FE7A7BD">
      <w:pPr>
        <w:keepNext w:val="0"/>
        <w:keepLines w:val="0"/>
        <w:pageBreakBefore w:val="0"/>
        <w:widowControl w:val="0"/>
        <w:numPr>
          <w:ilvl w:val="0"/>
          <w:numId w:val="0"/>
        </w:numPr>
        <w:kinsoku/>
        <w:wordWrap/>
        <w:overflowPunct/>
        <w:topLinePunct/>
        <w:autoSpaceDE/>
        <w:autoSpaceDN/>
        <w:bidi w:val="0"/>
        <w:adjustRightInd w:val="0"/>
        <w:snapToGrid w:val="0"/>
        <w:spacing w:line="560" w:lineRule="exact"/>
        <w:ind w:firstLine="640" w:firstLineChars="200"/>
        <w:jc w:val="both"/>
        <w:textAlignment w:val="auto"/>
        <w:rPr>
          <w:rFonts w:hint="default" w:ascii="Times New Roman" w:hAnsi="Times New Roman" w:cs="Times New Roman"/>
          <w:color w:val="auto"/>
          <w:kern w:val="2"/>
          <w:sz w:val="32"/>
          <w:szCs w:val="32"/>
          <w:highlight w:val="none"/>
          <w:lang w:val="en-US" w:eastAsia="zh-CN" w:bidi="ar-SA"/>
        </w:rPr>
      </w:pPr>
      <w:r>
        <w:rPr>
          <w:rFonts w:hint="default" w:ascii="Times New Roman" w:hAnsi="Times New Roman" w:cs="Times New Roman"/>
          <w:color w:val="auto"/>
          <w:kern w:val="2"/>
          <w:sz w:val="32"/>
          <w:szCs w:val="32"/>
          <w:highlight w:val="none"/>
          <w:lang w:val="en-US" w:eastAsia="zh-CN" w:bidi="ar-SA"/>
        </w:rPr>
        <w:t>无。</w:t>
      </w:r>
    </w:p>
    <w:p w14:paraId="6CC9613D">
      <w:pPr>
        <w:pStyle w:val="2"/>
        <w:spacing w:line="60" w:lineRule="exact"/>
        <w:rPr>
          <w:rFonts w:hint="default" w:ascii="Times New Roman" w:hAnsi="Times New Roman" w:cs="Times New Roman"/>
          <w:color w:val="auto"/>
          <w:highlight w:val="yellow"/>
        </w:rPr>
      </w:pPr>
    </w:p>
    <w:sectPr>
      <w:footerReference r:id="rId3" w:type="default"/>
      <w:pgSz w:w="11907" w:h="16840"/>
      <w:pgMar w:top="2098" w:right="1531" w:bottom="1984" w:left="1531" w:header="851" w:footer="1701" w:gutter="0"/>
      <w:pgBorders>
        <w:top w:val="none" w:sz="0" w:space="0"/>
        <w:left w:val="none" w:sz="0" w:space="0"/>
        <w:bottom w:val="none" w:sz="0" w:space="0"/>
        <w:right w:val="none" w:sz="0" w:space="0"/>
      </w:pgBorders>
      <w:pgNumType w:fmt="numberInDash" w:start="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Helvetica Neue">
    <w:altName w:val="Times New Roman"/>
    <w:panose1 w:val="00000000000000000000"/>
    <w:charset w:val="00"/>
    <w:family w:val="roman"/>
    <w:pitch w:val="default"/>
    <w:sig w:usb0="00000000" w:usb1="00000000" w:usb2="00000000" w:usb3="00000000" w:csb0="00040001" w:csb1="00000000"/>
  </w:font>
  <w:font w:name="Arial Unicode MS">
    <w:altName w:val="Times New Roman"/>
    <w:panose1 w:val="020B0604020202020204"/>
    <w:charset w:val="86"/>
    <w:family w:val="roman"/>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799FE">
    <w:pPr>
      <w:widowControl w:val="0"/>
      <w:tabs>
        <w:tab w:val="center" w:pos="4153"/>
        <w:tab w:val="right" w:pos="8306"/>
      </w:tabs>
      <w:suppressAutoHyphens/>
      <w:snapToGrid w:val="0"/>
      <w:ind w:right="280"/>
      <w:jc w:val="right"/>
      <w:rPr>
        <w:rFonts w:hint="eastAsia" w:ascii="宋体" w:eastAsia="宋体" w:cs="Times New Roman"/>
        <w:sz w:val="28"/>
        <w:szCs w:val="28"/>
        <w:lang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dit="readOnly"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DB71FF"/>
    <w:rsid w:val="06B9CB0B"/>
    <w:rsid w:val="07369133"/>
    <w:rsid w:val="091F0FEF"/>
    <w:rsid w:val="09CA3441"/>
    <w:rsid w:val="0ABFDAA7"/>
    <w:rsid w:val="0AF1107A"/>
    <w:rsid w:val="0C67E69A"/>
    <w:rsid w:val="0EF28341"/>
    <w:rsid w:val="0FFC010F"/>
    <w:rsid w:val="0FFE9491"/>
    <w:rsid w:val="13FF31FE"/>
    <w:rsid w:val="14A10B0A"/>
    <w:rsid w:val="16FD5C99"/>
    <w:rsid w:val="1BBDBED1"/>
    <w:rsid w:val="1BEF1596"/>
    <w:rsid w:val="1CEB6F16"/>
    <w:rsid w:val="1D691BEB"/>
    <w:rsid w:val="1E2DD4E3"/>
    <w:rsid w:val="1EA76859"/>
    <w:rsid w:val="1ECF07CB"/>
    <w:rsid w:val="1F4BCDA3"/>
    <w:rsid w:val="1FEBC933"/>
    <w:rsid w:val="1FED320A"/>
    <w:rsid w:val="1FF7052D"/>
    <w:rsid w:val="1FF799BF"/>
    <w:rsid w:val="1FFCE797"/>
    <w:rsid w:val="1FFF1F19"/>
    <w:rsid w:val="1FFFC5B9"/>
    <w:rsid w:val="24FDE5CE"/>
    <w:rsid w:val="276D1F66"/>
    <w:rsid w:val="27B7C12B"/>
    <w:rsid w:val="27DFBD69"/>
    <w:rsid w:val="28DFE479"/>
    <w:rsid w:val="29B78EDC"/>
    <w:rsid w:val="2CEF524D"/>
    <w:rsid w:val="2DAFBC9B"/>
    <w:rsid w:val="2EF91451"/>
    <w:rsid w:val="2EFD1650"/>
    <w:rsid w:val="2F7F2279"/>
    <w:rsid w:val="32DE8040"/>
    <w:rsid w:val="32FFE90B"/>
    <w:rsid w:val="337CB110"/>
    <w:rsid w:val="337EA910"/>
    <w:rsid w:val="350F6788"/>
    <w:rsid w:val="356F4A13"/>
    <w:rsid w:val="36AF2DDF"/>
    <w:rsid w:val="3769F6EC"/>
    <w:rsid w:val="377DBEDA"/>
    <w:rsid w:val="37BEF643"/>
    <w:rsid w:val="37D503A1"/>
    <w:rsid w:val="37DA4FB1"/>
    <w:rsid w:val="37DFCB76"/>
    <w:rsid w:val="37E6FC5E"/>
    <w:rsid w:val="37EC06CB"/>
    <w:rsid w:val="37EFD022"/>
    <w:rsid w:val="37F74C5F"/>
    <w:rsid w:val="38EE3DFB"/>
    <w:rsid w:val="396575CF"/>
    <w:rsid w:val="397F9450"/>
    <w:rsid w:val="39BF5766"/>
    <w:rsid w:val="39D58E36"/>
    <w:rsid w:val="39EF736E"/>
    <w:rsid w:val="39F5514F"/>
    <w:rsid w:val="3A74904A"/>
    <w:rsid w:val="3AFFC2BB"/>
    <w:rsid w:val="3B3FD119"/>
    <w:rsid w:val="3B7C9776"/>
    <w:rsid w:val="3B7FDB86"/>
    <w:rsid w:val="3BF8B1C1"/>
    <w:rsid w:val="3BFF387B"/>
    <w:rsid w:val="3CB72D8B"/>
    <w:rsid w:val="3CBF8D03"/>
    <w:rsid w:val="3CEF278D"/>
    <w:rsid w:val="3CF762C5"/>
    <w:rsid w:val="3CFB5D3B"/>
    <w:rsid w:val="3D79F243"/>
    <w:rsid w:val="3D7BE644"/>
    <w:rsid w:val="3D9AF6E7"/>
    <w:rsid w:val="3DACB279"/>
    <w:rsid w:val="3DBAC15D"/>
    <w:rsid w:val="3DBBBBBE"/>
    <w:rsid w:val="3DD77C99"/>
    <w:rsid w:val="3EEB424C"/>
    <w:rsid w:val="3EFF2FD4"/>
    <w:rsid w:val="3F6ACB40"/>
    <w:rsid w:val="3F6F0C48"/>
    <w:rsid w:val="3F7E8134"/>
    <w:rsid w:val="3F7F7A18"/>
    <w:rsid w:val="3F865746"/>
    <w:rsid w:val="3FB2913C"/>
    <w:rsid w:val="3FCB9492"/>
    <w:rsid w:val="3FD77F4A"/>
    <w:rsid w:val="3FDD758D"/>
    <w:rsid w:val="3FF1A365"/>
    <w:rsid w:val="3FF3BCBE"/>
    <w:rsid w:val="3FF3C3CC"/>
    <w:rsid w:val="3FF69311"/>
    <w:rsid w:val="3FF76B7E"/>
    <w:rsid w:val="3FFB13F0"/>
    <w:rsid w:val="3FFD172D"/>
    <w:rsid w:val="3FFDF411"/>
    <w:rsid w:val="3FFF323A"/>
    <w:rsid w:val="3FFF5B0F"/>
    <w:rsid w:val="3FFFC7EA"/>
    <w:rsid w:val="3FFFE889"/>
    <w:rsid w:val="426A66BB"/>
    <w:rsid w:val="429F924B"/>
    <w:rsid w:val="43F6CD20"/>
    <w:rsid w:val="43FA8661"/>
    <w:rsid w:val="44FF8311"/>
    <w:rsid w:val="45B52D0C"/>
    <w:rsid w:val="46FF888D"/>
    <w:rsid w:val="471FABCE"/>
    <w:rsid w:val="477DB0CF"/>
    <w:rsid w:val="47BCCFD8"/>
    <w:rsid w:val="47F340B8"/>
    <w:rsid w:val="47FF57AC"/>
    <w:rsid w:val="495FB9EF"/>
    <w:rsid w:val="4A8D3982"/>
    <w:rsid w:val="4B7B7755"/>
    <w:rsid w:val="4BA7667C"/>
    <w:rsid w:val="4BBF91EC"/>
    <w:rsid w:val="4D7B2DEA"/>
    <w:rsid w:val="4D810EFD"/>
    <w:rsid w:val="4DDB2CB8"/>
    <w:rsid w:val="4DDF1836"/>
    <w:rsid w:val="4DFEC952"/>
    <w:rsid w:val="4EFF0367"/>
    <w:rsid w:val="4F3B972C"/>
    <w:rsid w:val="4F7CA938"/>
    <w:rsid w:val="4F7F99CD"/>
    <w:rsid w:val="4FBDCAB6"/>
    <w:rsid w:val="4FDE1E31"/>
    <w:rsid w:val="4FE3E448"/>
    <w:rsid w:val="4FEF4221"/>
    <w:rsid w:val="4FF7375F"/>
    <w:rsid w:val="4FFD6A9B"/>
    <w:rsid w:val="4FFFBA65"/>
    <w:rsid w:val="4FFFDC08"/>
    <w:rsid w:val="51F981AA"/>
    <w:rsid w:val="51FFBD01"/>
    <w:rsid w:val="52294ABA"/>
    <w:rsid w:val="52CBF33F"/>
    <w:rsid w:val="537EE5FC"/>
    <w:rsid w:val="543F5134"/>
    <w:rsid w:val="5442ADF2"/>
    <w:rsid w:val="54FD0DD5"/>
    <w:rsid w:val="55B69131"/>
    <w:rsid w:val="56CEC4D8"/>
    <w:rsid w:val="570566EF"/>
    <w:rsid w:val="5774BDFA"/>
    <w:rsid w:val="57D30570"/>
    <w:rsid w:val="57D7D6E1"/>
    <w:rsid w:val="57F1D24E"/>
    <w:rsid w:val="57F70E64"/>
    <w:rsid w:val="58FACC66"/>
    <w:rsid w:val="5976AD63"/>
    <w:rsid w:val="59B8999D"/>
    <w:rsid w:val="59BF3633"/>
    <w:rsid w:val="5ABD1A88"/>
    <w:rsid w:val="5ADF666D"/>
    <w:rsid w:val="5AFA7570"/>
    <w:rsid w:val="5B767A71"/>
    <w:rsid w:val="5BAF49EF"/>
    <w:rsid w:val="5BAF7017"/>
    <w:rsid w:val="5BBB1ECA"/>
    <w:rsid w:val="5BE568CE"/>
    <w:rsid w:val="5BE7CAB6"/>
    <w:rsid w:val="5CFE47E3"/>
    <w:rsid w:val="5DB25E57"/>
    <w:rsid w:val="5DB7577B"/>
    <w:rsid w:val="5DF676BD"/>
    <w:rsid w:val="5DF7E8FF"/>
    <w:rsid w:val="5E7FA9C4"/>
    <w:rsid w:val="5E7FEC26"/>
    <w:rsid w:val="5EFFD6F4"/>
    <w:rsid w:val="5F1EBFE8"/>
    <w:rsid w:val="5F3E8818"/>
    <w:rsid w:val="5F6FAE55"/>
    <w:rsid w:val="5F6FB5AD"/>
    <w:rsid w:val="5F76845F"/>
    <w:rsid w:val="5F7F81C6"/>
    <w:rsid w:val="5F8F78EA"/>
    <w:rsid w:val="5F9FF93A"/>
    <w:rsid w:val="5FBA0F69"/>
    <w:rsid w:val="5FBDE6FF"/>
    <w:rsid w:val="5FBED077"/>
    <w:rsid w:val="5FBF3352"/>
    <w:rsid w:val="5FCD9C62"/>
    <w:rsid w:val="5FD716A4"/>
    <w:rsid w:val="5FD94FCD"/>
    <w:rsid w:val="5FDA6389"/>
    <w:rsid w:val="5FDEDEBB"/>
    <w:rsid w:val="5FE4A28B"/>
    <w:rsid w:val="5FEBAC73"/>
    <w:rsid w:val="5FED56D4"/>
    <w:rsid w:val="5FF5F948"/>
    <w:rsid w:val="5FF6928C"/>
    <w:rsid w:val="5FF70109"/>
    <w:rsid w:val="5FFB26B6"/>
    <w:rsid w:val="5FFC7B41"/>
    <w:rsid w:val="5FFCFCD6"/>
    <w:rsid w:val="5FFD706F"/>
    <w:rsid w:val="5FFEE2DA"/>
    <w:rsid w:val="5FFF555A"/>
    <w:rsid w:val="627F4EDC"/>
    <w:rsid w:val="62EFC0D8"/>
    <w:rsid w:val="63F6071E"/>
    <w:rsid w:val="63FF57C6"/>
    <w:rsid w:val="64F7F1CF"/>
    <w:rsid w:val="6559F310"/>
    <w:rsid w:val="65FB4C6C"/>
    <w:rsid w:val="65FF3370"/>
    <w:rsid w:val="65FF6BB9"/>
    <w:rsid w:val="65FFCA3B"/>
    <w:rsid w:val="6675964E"/>
    <w:rsid w:val="66B62BEC"/>
    <w:rsid w:val="671BB365"/>
    <w:rsid w:val="677CFA98"/>
    <w:rsid w:val="679FF380"/>
    <w:rsid w:val="67CAD07F"/>
    <w:rsid w:val="67E787B2"/>
    <w:rsid w:val="67F64CD1"/>
    <w:rsid w:val="67FFF39C"/>
    <w:rsid w:val="68DFB457"/>
    <w:rsid w:val="68F55E70"/>
    <w:rsid w:val="68FBDDCF"/>
    <w:rsid w:val="690DF236"/>
    <w:rsid w:val="693B7F50"/>
    <w:rsid w:val="699F670E"/>
    <w:rsid w:val="69BB754C"/>
    <w:rsid w:val="69FCD752"/>
    <w:rsid w:val="6AF55D4E"/>
    <w:rsid w:val="6B3BE800"/>
    <w:rsid w:val="6BDB71FF"/>
    <w:rsid w:val="6BED7CB8"/>
    <w:rsid w:val="6BF1D93E"/>
    <w:rsid w:val="6D5B9AF1"/>
    <w:rsid w:val="6D5F1086"/>
    <w:rsid w:val="6D7A5443"/>
    <w:rsid w:val="6D7AC23D"/>
    <w:rsid w:val="6DCDDF7D"/>
    <w:rsid w:val="6DD95010"/>
    <w:rsid w:val="6DFF3026"/>
    <w:rsid w:val="6DFF7F73"/>
    <w:rsid w:val="6E1F9128"/>
    <w:rsid w:val="6E3F23AE"/>
    <w:rsid w:val="6E73AD28"/>
    <w:rsid w:val="6E749F15"/>
    <w:rsid w:val="6E7F0647"/>
    <w:rsid w:val="6E99527D"/>
    <w:rsid w:val="6EDEE9C3"/>
    <w:rsid w:val="6EDFC16E"/>
    <w:rsid w:val="6EEBA0D0"/>
    <w:rsid w:val="6EF5EB77"/>
    <w:rsid w:val="6EF61E09"/>
    <w:rsid w:val="6EF94138"/>
    <w:rsid w:val="6EFD30F7"/>
    <w:rsid w:val="6EFDEBC9"/>
    <w:rsid w:val="6F4F9A28"/>
    <w:rsid w:val="6F5FD783"/>
    <w:rsid w:val="6F6BDA78"/>
    <w:rsid w:val="6F7F29B5"/>
    <w:rsid w:val="6F7F35AE"/>
    <w:rsid w:val="6F9D4EAA"/>
    <w:rsid w:val="6F9EBC89"/>
    <w:rsid w:val="6FB419F2"/>
    <w:rsid w:val="6FBDEB7D"/>
    <w:rsid w:val="6FBFABAC"/>
    <w:rsid w:val="6FC713AC"/>
    <w:rsid w:val="6FE5DE4A"/>
    <w:rsid w:val="6FE75494"/>
    <w:rsid w:val="6FF776F5"/>
    <w:rsid w:val="6FF78E95"/>
    <w:rsid w:val="6FFB57BE"/>
    <w:rsid w:val="6FFD8F4A"/>
    <w:rsid w:val="6FFF4239"/>
    <w:rsid w:val="6FFFF4F7"/>
    <w:rsid w:val="70BF7046"/>
    <w:rsid w:val="71BC86C4"/>
    <w:rsid w:val="71DAFD41"/>
    <w:rsid w:val="71FB4FAE"/>
    <w:rsid w:val="72A51361"/>
    <w:rsid w:val="72F7BD73"/>
    <w:rsid w:val="72FC45EC"/>
    <w:rsid w:val="72FC9B58"/>
    <w:rsid w:val="73560FC1"/>
    <w:rsid w:val="73B51E5D"/>
    <w:rsid w:val="73E31BE4"/>
    <w:rsid w:val="73EB4C6E"/>
    <w:rsid w:val="73FE9B02"/>
    <w:rsid w:val="73FF7AED"/>
    <w:rsid w:val="74BBCED7"/>
    <w:rsid w:val="74CBCA27"/>
    <w:rsid w:val="74FF6E33"/>
    <w:rsid w:val="75AE4C5F"/>
    <w:rsid w:val="75E7B4BA"/>
    <w:rsid w:val="75EDB8F7"/>
    <w:rsid w:val="75EF7D9A"/>
    <w:rsid w:val="75FBFE61"/>
    <w:rsid w:val="765BB357"/>
    <w:rsid w:val="767FB98F"/>
    <w:rsid w:val="76CDED14"/>
    <w:rsid w:val="76E7573F"/>
    <w:rsid w:val="76FAC93A"/>
    <w:rsid w:val="771FE28C"/>
    <w:rsid w:val="773A2686"/>
    <w:rsid w:val="776D559C"/>
    <w:rsid w:val="77764033"/>
    <w:rsid w:val="777F781B"/>
    <w:rsid w:val="777FC527"/>
    <w:rsid w:val="77AFB283"/>
    <w:rsid w:val="77B5D18D"/>
    <w:rsid w:val="77B77ACE"/>
    <w:rsid w:val="77B7EF07"/>
    <w:rsid w:val="77B957D6"/>
    <w:rsid w:val="77BC1EA9"/>
    <w:rsid w:val="77D7D695"/>
    <w:rsid w:val="77DF7CAB"/>
    <w:rsid w:val="77EC386E"/>
    <w:rsid w:val="77EC9589"/>
    <w:rsid w:val="77EF8087"/>
    <w:rsid w:val="77F3E82D"/>
    <w:rsid w:val="77F99832"/>
    <w:rsid w:val="77FB153D"/>
    <w:rsid w:val="77FEC955"/>
    <w:rsid w:val="77FF1C4B"/>
    <w:rsid w:val="77FF479C"/>
    <w:rsid w:val="77FFDE96"/>
    <w:rsid w:val="78795501"/>
    <w:rsid w:val="787A0E99"/>
    <w:rsid w:val="78BEEE03"/>
    <w:rsid w:val="78F9B2EF"/>
    <w:rsid w:val="78FF8CF8"/>
    <w:rsid w:val="792F5855"/>
    <w:rsid w:val="7985F222"/>
    <w:rsid w:val="79BF5F2A"/>
    <w:rsid w:val="79BF7C29"/>
    <w:rsid w:val="79D95464"/>
    <w:rsid w:val="79DF5FFE"/>
    <w:rsid w:val="79DFB3F5"/>
    <w:rsid w:val="79EF7E5F"/>
    <w:rsid w:val="79F75357"/>
    <w:rsid w:val="79FBD386"/>
    <w:rsid w:val="7A3A6F25"/>
    <w:rsid w:val="7A56ABFE"/>
    <w:rsid w:val="7ACF84CB"/>
    <w:rsid w:val="7ADF0FFF"/>
    <w:rsid w:val="7AFA999A"/>
    <w:rsid w:val="7AFDA278"/>
    <w:rsid w:val="7AFFD4CE"/>
    <w:rsid w:val="7B2F748D"/>
    <w:rsid w:val="7B564D18"/>
    <w:rsid w:val="7B5F4964"/>
    <w:rsid w:val="7B5F4E05"/>
    <w:rsid w:val="7B7D28CB"/>
    <w:rsid w:val="7B7F9A02"/>
    <w:rsid w:val="7B8B6D1B"/>
    <w:rsid w:val="7BAE0611"/>
    <w:rsid w:val="7BB068E0"/>
    <w:rsid w:val="7BBB4855"/>
    <w:rsid w:val="7BBBA4C6"/>
    <w:rsid w:val="7BBF9074"/>
    <w:rsid w:val="7BCE0F6E"/>
    <w:rsid w:val="7BDD7362"/>
    <w:rsid w:val="7BDF4F85"/>
    <w:rsid w:val="7BDFEFCE"/>
    <w:rsid w:val="7BE92993"/>
    <w:rsid w:val="7BEB6909"/>
    <w:rsid w:val="7BEF83D5"/>
    <w:rsid w:val="7BEFF915"/>
    <w:rsid w:val="7BF08B3F"/>
    <w:rsid w:val="7BF819B9"/>
    <w:rsid w:val="7BFB4260"/>
    <w:rsid w:val="7BFB9642"/>
    <w:rsid w:val="7BFEFE12"/>
    <w:rsid w:val="7BFF325C"/>
    <w:rsid w:val="7BFF55B0"/>
    <w:rsid w:val="7BFFD749"/>
    <w:rsid w:val="7CAC790D"/>
    <w:rsid w:val="7CBF5B17"/>
    <w:rsid w:val="7CBF8848"/>
    <w:rsid w:val="7CDBE9BC"/>
    <w:rsid w:val="7CE99AB6"/>
    <w:rsid w:val="7CF243CA"/>
    <w:rsid w:val="7CFF03E5"/>
    <w:rsid w:val="7D3F2A20"/>
    <w:rsid w:val="7D4528E7"/>
    <w:rsid w:val="7D4FE40D"/>
    <w:rsid w:val="7D55CE2B"/>
    <w:rsid w:val="7D5B966A"/>
    <w:rsid w:val="7D5CCC15"/>
    <w:rsid w:val="7DBFE885"/>
    <w:rsid w:val="7DC7618D"/>
    <w:rsid w:val="7DCF6951"/>
    <w:rsid w:val="7DD65BEC"/>
    <w:rsid w:val="7DD7584E"/>
    <w:rsid w:val="7DDAE689"/>
    <w:rsid w:val="7DDBAEA0"/>
    <w:rsid w:val="7DDD2BD4"/>
    <w:rsid w:val="7DDF1432"/>
    <w:rsid w:val="7DEB941A"/>
    <w:rsid w:val="7DEF27DD"/>
    <w:rsid w:val="7DF648CD"/>
    <w:rsid w:val="7DF7B022"/>
    <w:rsid w:val="7DF7F44B"/>
    <w:rsid w:val="7E1C690A"/>
    <w:rsid w:val="7E3F8316"/>
    <w:rsid w:val="7E4ED8E7"/>
    <w:rsid w:val="7E5D95E2"/>
    <w:rsid w:val="7E75B316"/>
    <w:rsid w:val="7E93FC97"/>
    <w:rsid w:val="7EBB97DC"/>
    <w:rsid w:val="7EBD229C"/>
    <w:rsid w:val="7ED5C0A3"/>
    <w:rsid w:val="7EDF706B"/>
    <w:rsid w:val="7EE98500"/>
    <w:rsid w:val="7EF78103"/>
    <w:rsid w:val="7EFE61B8"/>
    <w:rsid w:val="7F1E5889"/>
    <w:rsid w:val="7F293395"/>
    <w:rsid w:val="7F2F31B9"/>
    <w:rsid w:val="7F32D86A"/>
    <w:rsid w:val="7F4F65EA"/>
    <w:rsid w:val="7F5F5139"/>
    <w:rsid w:val="7F694AD0"/>
    <w:rsid w:val="7F6D351A"/>
    <w:rsid w:val="7F6F8F5D"/>
    <w:rsid w:val="7F759BC5"/>
    <w:rsid w:val="7F77C2EC"/>
    <w:rsid w:val="7F77D427"/>
    <w:rsid w:val="7F77DE3A"/>
    <w:rsid w:val="7F7AE13A"/>
    <w:rsid w:val="7F7D18B2"/>
    <w:rsid w:val="7F7EB5DE"/>
    <w:rsid w:val="7F7F2113"/>
    <w:rsid w:val="7F7F8680"/>
    <w:rsid w:val="7F7FE0C0"/>
    <w:rsid w:val="7F9F271C"/>
    <w:rsid w:val="7F9F8923"/>
    <w:rsid w:val="7F9FEA1C"/>
    <w:rsid w:val="7FB7E8F5"/>
    <w:rsid w:val="7FB7F8BA"/>
    <w:rsid w:val="7FB96303"/>
    <w:rsid w:val="7FBD4A4A"/>
    <w:rsid w:val="7FBE4BC1"/>
    <w:rsid w:val="7FC617E8"/>
    <w:rsid w:val="7FCB7C69"/>
    <w:rsid w:val="7FD7CED8"/>
    <w:rsid w:val="7FDB3F27"/>
    <w:rsid w:val="7FDD41E7"/>
    <w:rsid w:val="7FDD9A80"/>
    <w:rsid w:val="7FDF2DFC"/>
    <w:rsid w:val="7FE72B34"/>
    <w:rsid w:val="7FE74351"/>
    <w:rsid w:val="7FEBB9C1"/>
    <w:rsid w:val="7FEDBA94"/>
    <w:rsid w:val="7FEE3456"/>
    <w:rsid w:val="7FEF0099"/>
    <w:rsid w:val="7FEF3734"/>
    <w:rsid w:val="7FF56BE9"/>
    <w:rsid w:val="7FF6937A"/>
    <w:rsid w:val="7FF75B2E"/>
    <w:rsid w:val="7FF7BE74"/>
    <w:rsid w:val="7FF97DEF"/>
    <w:rsid w:val="7FF9D8BE"/>
    <w:rsid w:val="7FFA8F38"/>
    <w:rsid w:val="7FFC57E4"/>
    <w:rsid w:val="7FFE2AFE"/>
    <w:rsid w:val="7FFE2E69"/>
    <w:rsid w:val="7FFF00E7"/>
    <w:rsid w:val="7FFF3964"/>
    <w:rsid w:val="7FFF39EF"/>
    <w:rsid w:val="7FFF5933"/>
    <w:rsid w:val="7FFFD1D6"/>
    <w:rsid w:val="7FFFE4E4"/>
    <w:rsid w:val="7FFFF8E4"/>
    <w:rsid w:val="837689C8"/>
    <w:rsid w:val="85DFDAED"/>
    <w:rsid w:val="8B8797E9"/>
    <w:rsid w:val="8CFF82D8"/>
    <w:rsid w:val="8D79AE7E"/>
    <w:rsid w:val="8E2B9FAD"/>
    <w:rsid w:val="8F5DD889"/>
    <w:rsid w:val="8F7F127D"/>
    <w:rsid w:val="8FBD87F1"/>
    <w:rsid w:val="8FD9AFBC"/>
    <w:rsid w:val="90E61D48"/>
    <w:rsid w:val="91ACBC98"/>
    <w:rsid w:val="976795EC"/>
    <w:rsid w:val="97F2F70E"/>
    <w:rsid w:val="97F3A61A"/>
    <w:rsid w:val="97FC5548"/>
    <w:rsid w:val="99F8E711"/>
    <w:rsid w:val="99FF0D49"/>
    <w:rsid w:val="9A7F2319"/>
    <w:rsid w:val="9B71EF2D"/>
    <w:rsid w:val="9B7FC61A"/>
    <w:rsid w:val="9BFB0338"/>
    <w:rsid w:val="9BFD5657"/>
    <w:rsid w:val="9DB7E1F4"/>
    <w:rsid w:val="9DDE8FB7"/>
    <w:rsid w:val="9DF2CFB5"/>
    <w:rsid w:val="9DF76A10"/>
    <w:rsid w:val="9DFFFAF0"/>
    <w:rsid w:val="9E7361A3"/>
    <w:rsid w:val="9E8FFB04"/>
    <w:rsid w:val="9EDBC5B6"/>
    <w:rsid w:val="9EDE2E05"/>
    <w:rsid w:val="9EFB0B85"/>
    <w:rsid w:val="9EFF71DB"/>
    <w:rsid w:val="9F5FDA17"/>
    <w:rsid w:val="9FB91C44"/>
    <w:rsid w:val="9FBF173E"/>
    <w:rsid w:val="9FC77DBB"/>
    <w:rsid w:val="9FCF6030"/>
    <w:rsid w:val="9FEE7B46"/>
    <w:rsid w:val="9FFB1BA3"/>
    <w:rsid w:val="9FFB31B1"/>
    <w:rsid w:val="9FFB984E"/>
    <w:rsid w:val="A1FF5304"/>
    <w:rsid w:val="A2EFDF15"/>
    <w:rsid w:val="A3EB4797"/>
    <w:rsid w:val="A4DCE81C"/>
    <w:rsid w:val="A5FFD961"/>
    <w:rsid w:val="A75D174A"/>
    <w:rsid w:val="A7BF52D2"/>
    <w:rsid w:val="A7D75EF3"/>
    <w:rsid w:val="A7F76A91"/>
    <w:rsid w:val="A8FFD3F9"/>
    <w:rsid w:val="A96781A2"/>
    <w:rsid w:val="A9F7F8E8"/>
    <w:rsid w:val="AAA54917"/>
    <w:rsid w:val="AB49421B"/>
    <w:rsid w:val="ABAB4450"/>
    <w:rsid w:val="ABC68455"/>
    <w:rsid w:val="ABD36F6A"/>
    <w:rsid w:val="ABF7A2D6"/>
    <w:rsid w:val="ABFFCD13"/>
    <w:rsid w:val="AD1EDF43"/>
    <w:rsid w:val="ADE7B08F"/>
    <w:rsid w:val="ADFE0342"/>
    <w:rsid w:val="AE514247"/>
    <w:rsid w:val="AE578891"/>
    <w:rsid w:val="AEDE541F"/>
    <w:rsid w:val="AF28A14C"/>
    <w:rsid w:val="AF8B62E8"/>
    <w:rsid w:val="AFB7D3C7"/>
    <w:rsid w:val="AFBABE5B"/>
    <w:rsid w:val="AFDF366B"/>
    <w:rsid w:val="AFDFDA56"/>
    <w:rsid w:val="AFE77B96"/>
    <w:rsid w:val="AFFF11DD"/>
    <w:rsid w:val="AFFF99BE"/>
    <w:rsid w:val="B066F3A8"/>
    <w:rsid w:val="B1BF4ED9"/>
    <w:rsid w:val="B1FC6A42"/>
    <w:rsid w:val="B2FF9668"/>
    <w:rsid w:val="B3EB7EEB"/>
    <w:rsid w:val="B3FFDF41"/>
    <w:rsid w:val="B43EE1F5"/>
    <w:rsid w:val="B5C8546C"/>
    <w:rsid w:val="B5D2189F"/>
    <w:rsid w:val="B5F7608E"/>
    <w:rsid w:val="B5FF22B8"/>
    <w:rsid w:val="B65FAB41"/>
    <w:rsid w:val="B6DB34A5"/>
    <w:rsid w:val="B6EFFB26"/>
    <w:rsid w:val="B6F610A6"/>
    <w:rsid w:val="B6FAED20"/>
    <w:rsid w:val="B6FFEF7B"/>
    <w:rsid w:val="B7741B8D"/>
    <w:rsid w:val="B79B910C"/>
    <w:rsid w:val="B7B4EDB0"/>
    <w:rsid w:val="B7BE0D80"/>
    <w:rsid w:val="B7BF633C"/>
    <w:rsid w:val="B7C6A658"/>
    <w:rsid w:val="B7D9A67F"/>
    <w:rsid w:val="B7EF6672"/>
    <w:rsid w:val="B7FEE162"/>
    <w:rsid w:val="B7FFEC87"/>
    <w:rsid w:val="B8F38E89"/>
    <w:rsid w:val="BA7D3F0E"/>
    <w:rsid w:val="BADD5D7F"/>
    <w:rsid w:val="BADF4DF4"/>
    <w:rsid w:val="BB0F6D4D"/>
    <w:rsid w:val="BBBF4A37"/>
    <w:rsid w:val="BBF79F3D"/>
    <w:rsid w:val="BBFBF59A"/>
    <w:rsid w:val="BBFE87CD"/>
    <w:rsid w:val="BC1FE983"/>
    <w:rsid w:val="BC7F075C"/>
    <w:rsid w:val="BCD20F86"/>
    <w:rsid w:val="BCFFE634"/>
    <w:rsid w:val="BD3F7A47"/>
    <w:rsid w:val="BD6CA36C"/>
    <w:rsid w:val="BD771B7D"/>
    <w:rsid w:val="BDF62CA9"/>
    <w:rsid w:val="BDF74ACF"/>
    <w:rsid w:val="BDF91621"/>
    <w:rsid w:val="BE3B4DE1"/>
    <w:rsid w:val="BE6FB0FB"/>
    <w:rsid w:val="BE7F3C89"/>
    <w:rsid w:val="BE9FEE08"/>
    <w:rsid w:val="BEDD40AA"/>
    <w:rsid w:val="BEED6897"/>
    <w:rsid w:val="BEF5260D"/>
    <w:rsid w:val="BEFF28D5"/>
    <w:rsid w:val="BF3E5560"/>
    <w:rsid w:val="BF5FFBD3"/>
    <w:rsid w:val="BFB9E6AC"/>
    <w:rsid w:val="BFBCC974"/>
    <w:rsid w:val="BFBD6F03"/>
    <w:rsid w:val="BFBF95B5"/>
    <w:rsid w:val="BFBFF0E2"/>
    <w:rsid w:val="BFD762AA"/>
    <w:rsid w:val="BFDB1955"/>
    <w:rsid w:val="BFE729A8"/>
    <w:rsid w:val="BFEEB8F3"/>
    <w:rsid w:val="BFF5A5F2"/>
    <w:rsid w:val="BFFD436A"/>
    <w:rsid w:val="BFFD8306"/>
    <w:rsid w:val="BFFEEB17"/>
    <w:rsid w:val="BFFF297C"/>
    <w:rsid w:val="BFFF4277"/>
    <w:rsid w:val="BFFF64BD"/>
    <w:rsid w:val="BFFFF60F"/>
    <w:rsid w:val="C5FCC491"/>
    <w:rsid w:val="C776A134"/>
    <w:rsid w:val="C7FEAC25"/>
    <w:rsid w:val="CABDE23F"/>
    <w:rsid w:val="CABF0E53"/>
    <w:rsid w:val="CCE9A4CF"/>
    <w:rsid w:val="CD1B43A3"/>
    <w:rsid w:val="CD8EA276"/>
    <w:rsid w:val="CEB73C22"/>
    <w:rsid w:val="CEF776E7"/>
    <w:rsid w:val="CEFFD647"/>
    <w:rsid w:val="CEFFDA0E"/>
    <w:rsid w:val="CF1F8A98"/>
    <w:rsid w:val="CF2E7DAA"/>
    <w:rsid w:val="CF537DDC"/>
    <w:rsid w:val="CF5FA9BD"/>
    <w:rsid w:val="CF6E4C69"/>
    <w:rsid w:val="CF7F8AFD"/>
    <w:rsid w:val="CFDAAB4D"/>
    <w:rsid w:val="CFE74850"/>
    <w:rsid w:val="CFEF90F0"/>
    <w:rsid w:val="CFF38927"/>
    <w:rsid w:val="D1FCC593"/>
    <w:rsid w:val="D29850A5"/>
    <w:rsid w:val="D2FE4140"/>
    <w:rsid w:val="D3FF2F65"/>
    <w:rsid w:val="D3FF7271"/>
    <w:rsid w:val="D5FFB696"/>
    <w:rsid w:val="D647D3E6"/>
    <w:rsid w:val="D6DEC826"/>
    <w:rsid w:val="D6FA4FBF"/>
    <w:rsid w:val="D6FFFE13"/>
    <w:rsid w:val="D778A7B7"/>
    <w:rsid w:val="D77FF527"/>
    <w:rsid w:val="D7A118C5"/>
    <w:rsid w:val="D7BD264A"/>
    <w:rsid w:val="D7E731ED"/>
    <w:rsid w:val="D7F60000"/>
    <w:rsid w:val="D7FF565B"/>
    <w:rsid w:val="D8FF27FA"/>
    <w:rsid w:val="D97F0C41"/>
    <w:rsid w:val="D9BF93DD"/>
    <w:rsid w:val="D9D36F78"/>
    <w:rsid w:val="D9F6CE83"/>
    <w:rsid w:val="D9F776DB"/>
    <w:rsid w:val="D9FE14ED"/>
    <w:rsid w:val="D9FF170C"/>
    <w:rsid w:val="D9FF17C8"/>
    <w:rsid w:val="D9FF4EB4"/>
    <w:rsid w:val="DA34E044"/>
    <w:rsid w:val="DA7F70AC"/>
    <w:rsid w:val="DAEBEFC7"/>
    <w:rsid w:val="DB37F047"/>
    <w:rsid w:val="DB3C929D"/>
    <w:rsid w:val="DB77B1FC"/>
    <w:rsid w:val="DB9F3958"/>
    <w:rsid w:val="DBD73E98"/>
    <w:rsid w:val="DBDBBE7D"/>
    <w:rsid w:val="DBF7D3A7"/>
    <w:rsid w:val="DC5F5BD7"/>
    <w:rsid w:val="DCF90E96"/>
    <w:rsid w:val="DD5B0F03"/>
    <w:rsid w:val="DD8DA881"/>
    <w:rsid w:val="DDD20289"/>
    <w:rsid w:val="DDFDDB8A"/>
    <w:rsid w:val="DE7E266C"/>
    <w:rsid w:val="DE97C6B1"/>
    <w:rsid w:val="DEFB7F7D"/>
    <w:rsid w:val="DEFE13E8"/>
    <w:rsid w:val="DEFFFAA7"/>
    <w:rsid w:val="DF5F6E9A"/>
    <w:rsid w:val="DF5F97A3"/>
    <w:rsid w:val="DF7FD887"/>
    <w:rsid w:val="DF999428"/>
    <w:rsid w:val="DFAB044D"/>
    <w:rsid w:val="DFAB7841"/>
    <w:rsid w:val="DFB38EA0"/>
    <w:rsid w:val="DFB757AA"/>
    <w:rsid w:val="DFB7F9C4"/>
    <w:rsid w:val="DFC3F0A2"/>
    <w:rsid w:val="DFDE01F6"/>
    <w:rsid w:val="DFE97D10"/>
    <w:rsid w:val="DFF796FD"/>
    <w:rsid w:val="DFFA55AE"/>
    <w:rsid w:val="DFFB5470"/>
    <w:rsid w:val="DFFD7C14"/>
    <w:rsid w:val="DFFF8486"/>
    <w:rsid w:val="DFFFF619"/>
    <w:rsid w:val="E27E434B"/>
    <w:rsid w:val="E3AD07CF"/>
    <w:rsid w:val="E3FFEC67"/>
    <w:rsid w:val="E5FB6DF8"/>
    <w:rsid w:val="E65DE710"/>
    <w:rsid w:val="E7CFA43F"/>
    <w:rsid w:val="E7EF742B"/>
    <w:rsid w:val="E7FB22BE"/>
    <w:rsid w:val="E7FE0151"/>
    <w:rsid w:val="E7FF597E"/>
    <w:rsid w:val="E8FDC85E"/>
    <w:rsid w:val="E9335BAB"/>
    <w:rsid w:val="E9527601"/>
    <w:rsid w:val="E9F751A4"/>
    <w:rsid w:val="EADF145C"/>
    <w:rsid w:val="EB79B214"/>
    <w:rsid w:val="EBB78A98"/>
    <w:rsid w:val="EBB79DC4"/>
    <w:rsid w:val="EBFDA14D"/>
    <w:rsid w:val="EBFF723C"/>
    <w:rsid w:val="ECBDE42B"/>
    <w:rsid w:val="ECDDDEEC"/>
    <w:rsid w:val="ED368D33"/>
    <w:rsid w:val="ED7F88BE"/>
    <w:rsid w:val="ED9B54F5"/>
    <w:rsid w:val="EDAC3F4D"/>
    <w:rsid w:val="EDFA9000"/>
    <w:rsid w:val="EDFFA681"/>
    <w:rsid w:val="EDFFBE2E"/>
    <w:rsid w:val="EE9F2832"/>
    <w:rsid w:val="EEAE7896"/>
    <w:rsid w:val="EECF5FE0"/>
    <w:rsid w:val="EEDEC848"/>
    <w:rsid w:val="EF1FBE0D"/>
    <w:rsid w:val="EF3BE913"/>
    <w:rsid w:val="EF755E4A"/>
    <w:rsid w:val="EF7D5DEA"/>
    <w:rsid w:val="EF7D912B"/>
    <w:rsid w:val="EF7F2799"/>
    <w:rsid w:val="EF9CE047"/>
    <w:rsid w:val="EFA7A584"/>
    <w:rsid w:val="EFAB4AB5"/>
    <w:rsid w:val="EFB7BBAE"/>
    <w:rsid w:val="EFBD8220"/>
    <w:rsid w:val="EFBF148C"/>
    <w:rsid w:val="EFBF198C"/>
    <w:rsid w:val="EFC92A27"/>
    <w:rsid w:val="EFD45E2F"/>
    <w:rsid w:val="EFD6A732"/>
    <w:rsid w:val="EFD96054"/>
    <w:rsid w:val="EFE5B787"/>
    <w:rsid w:val="EFF61969"/>
    <w:rsid w:val="EFF7E40E"/>
    <w:rsid w:val="EFFA9B86"/>
    <w:rsid w:val="EFFF44D1"/>
    <w:rsid w:val="EFFF6CB3"/>
    <w:rsid w:val="EFFFF260"/>
    <w:rsid w:val="F01D8E1A"/>
    <w:rsid w:val="F06F4349"/>
    <w:rsid w:val="F0BB88D4"/>
    <w:rsid w:val="F166D3CE"/>
    <w:rsid w:val="F17E4ED2"/>
    <w:rsid w:val="F1DB1419"/>
    <w:rsid w:val="F2EF9F91"/>
    <w:rsid w:val="F34E47BB"/>
    <w:rsid w:val="F35B9A36"/>
    <w:rsid w:val="F37F106D"/>
    <w:rsid w:val="F3F16D10"/>
    <w:rsid w:val="F3FF589E"/>
    <w:rsid w:val="F3FFCE1E"/>
    <w:rsid w:val="F4514157"/>
    <w:rsid w:val="F4DBC418"/>
    <w:rsid w:val="F4DFD600"/>
    <w:rsid w:val="F52E88CD"/>
    <w:rsid w:val="F578CE4C"/>
    <w:rsid w:val="F57D4B83"/>
    <w:rsid w:val="F59DCFC8"/>
    <w:rsid w:val="F5DD6ED6"/>
    <w:rsid w:val="F5F29339"/>
    <w:rsid w:val="F5FE9B4D"/>
    <w:rsid w:val="F63D87AE"/>
    <w:rsid w:val="F697E83C"/>
    <w:rsid w:val="F6BF238E"/>
    <w:rsid w:val="F6DD3C51"/>
    <w:rsid w:val="F6E6314A"/>
    <w:rsid w:val="F6EFD2FF"/>
    <w:rsid w:val="F6F650B6"/>
    <w:rsid w:val="F73D6D0A"/>
    <w:rsid w:val="F760C150"/>
    <w:rsid w:val="F76F1D63"/>
    <w:rsid w:val="F773BF9D"/>
    <w:rsid w:val="F77A58A6"/>
    <w:rsid w:val="F77FD9DD"/>
    <w:rsid w:val="F79E6BC2"/>
    <w:rsid w:val="F7BBC932"/>
    <w:rsid w:val="F7BE1AE4"/>
    <w:rsid w:val="F7BF3C90"/>
    <w:rsid w:val="F7BF5170"/>
    <w:rsid w:val="F7BFFCDB"/>
    <w:rsid w:val="F7D97A16"/>
    <w:rsid w:val="F7EB5C60"/>
    <w:rsid w:val="F7EFC864"/>
    <w:rsid w:val="F7F5FD5C"/>
    <w:rsid w:val="F7F812C4"/>
    <w:rsid w:val="F7F87DEB"/>
    <w:rsid w:val="F7F948CB"/>
    <w:rsid w:val="F7FBC72C"/>
    <w:rsid w:val="F7FBF84A"/>
    <w:rsid w:val="F7FD68D0"/>
    <w:rsid w:val="F7FEA08D"/>
    <w:rsid w:val="F7FF1C5D"/>
    <w:rsid w:val="F7FF420B"/>
    <w:rsid w:val="F7FF90BF"/>
    <w:rsid w:val="F7FFB882"/>
    <w:rsid w:val="F8FFD87B"/>
    <w:rsid w:val="F99E05CA"/>
    <w:rsid w:val="F9BAD85A"/>
    <w:rsid w:val="F9DEDC95"/>
    <w:rsid w:val="F9EF1123"/>
    <w:rsid w:val="F9F919E3"/>
    <w:rsid w:val="FA775AD4"/>
    <w:rsid w:val="FA7F6281"/>
    <w:rsid w:val="FABAF071"/>
    <w:rsid w:val="FADD3BC7"/>
    <w:rsid w:val="FADF6EE4"/>
    <w:rsid w:val="FADFEB26"/>
    <w:rsid w:val="FAF4DFD5"/>
    <w:rsid w:val="FAFF66FF"/>
    <w:rsid w:val="FAFFBC2B"/>
    <w:rsid w:val="FAFFC43D"/>
    <w:rsid w:val="FB3F6807"/>
    <w:rsid w:val="FB5FF0D8"/>
    <w:rsid w:val="FB7F1F6A"/>
    <w:rsid w:val="FBAF73D1"/>
    <w:rsid w:val="FBAFE4FE"/>
    <w:rsid w:val="FBB7B5B1"/>
    <w:rsid w:val="FBBF88DB"/>
    <w:rsid w:val="FBCD3B78"/>
    <w:rsid w:val="FBD38E05"/>
    <w:rsid w:val="FBDD1BAF"/>
    <w:rsid w:val="FBE78671"/>
    <w:rsid w:val="FBEE7BF9"/>
    <w:rsid w:val="FBEF7D62"/>
    <w:rsid w:val="FBF6EEB6"/>
    <w:rsid w:val="FBF7101D"/>
    <w:rsid w:val="FBF97165"/>
    <w:rsid w:val="FBFB099F"/>
    <w:rsid w:val="FBFB37E0"/>
    <w:rsid w:val="FBFFD29B"/>
    <w:rsid w:val="FBFFDFB6"/>
    <w:rsid w:val="FC8B3A66"/>
    <w:rsid w:val="FCD4D2CF"/>
    <w:rsid w:val="FCFF58CA"/>
    <w:rsid w:val="FCFFEBE4"/>
    <w:rsid w:val="FD131AFB"/>
    <w:rsid w:val="FD7D5E2E"/>
    <w:rsid w:val="FD7F1526"/>
    <w:rsid w:val="FDB3320D"/>
    <w:rsid w:val="FDB62A39"/>
    <w:rsid w:val="FDBA1ABE"/>
    <w:rsid w:val="FDC7E3C1"/>
    <w:rsid w:val="FDCF5D0A"/>
    <w:rsid w:val="FDDB6160"/>
    <w:rsid w:val="FDDDF27A"/>
    <w:rsid w:val="FDDE555D"/>
    <w:rsid w:val="FDDF1A26"/>
    <w:rsid w:val="FDED6D36"/>
    <w:rsid w:val="FDEDCA2E"/>
    <w:rsid w:val="FDF706A0"/>
    <w:rsid w:val="FDF7D465"/>
    <w:rsid w:val="FDFAA9B1"/>
    <w:rsid w:val="FDFF8D9C"/>
    <w:rsid w:val="FDFF9CBD"/>
    <w:rsid w:val="FDFFBEA0"/>
    <w:rsid w:val="FDFFD5C0"/>
    <w:rsid w:val="FE3A4C96"/>
    <w:rsid w:val="FE3BD6B8"/>
    <w:rsid w:val="FE5B46A8"/>
    <w:rsid w:val="FE67B342"/>
    <w:rsid w:val="FE7B9711"/>
    <w:rsid w:val="FE7F8417"/>
    <w:rsid w:val="FE7FFC9A"/>
    <w:rsid w:val="FE8DCC0F"/>
    <w:rsid w:val="FEA33A41"/>
    <w:rsid w:val="FEBCEA7E"/>
    <w:rsid w:val="FECEAB3D"/>
    <w:rsid w:val="FEDE64D8"/>
    <w:rsid w:val="FEDFE3B9"/>
    <w:rsid w:val="FEEABBB3"/>
    <w:rsid w:val="FEEEDCBD"/>
    <w:rsid w:val="FEF750E7"/>
    <w:rsid w:val="FEFF0659"/>
    <w:rsid w:val="FEFF6E3D"/>
    <w:rsid w:val="FF2ECD4B"/>
    <w:rsid w:val="FF2FB6D1"/>
    <w:rsid w:val="FF3FAC48"/>
    <w:rsid w:val="FF5081A4"/>
    <w:rsid w:val="FF558EAF"/>
    <w:rsid w:val="FF6BBE0A"/>
    <w:rsid w:val="FF6EFE2E"/>
    <w:rsid w:val="FF7473D8"/>
    <w:rsid w:val="FF768987"/>
    <w:rsid w:val="FF76B033"/>
    <w:rsid w:val="FF774CD5"/>
    <w:rsid w:val="FF7995CF"/>
    <w:rsid w:val="FF7A0669"/>
    <w:rsid w:val="FF7D8FF4"/>
    <w:rsid w:val="FF9A8FF3"/>
    <w:rsid w:val="FF9C616C"/>
    <w:rsid w:val="FF9F2035"/>
    <w:rsid w:val="FFAB09B7"/>
    <w:rsid w:val="FFAB668C"/>
    <w:rsid w:val="FFAE8E33"/>
    <w:rsid w:val="FFAEDD93"/>
    <w:rsid w:val="FFAFA783"/>
    <w:rsid w:val="FFAFB55D"/>
    <w:rsid w:val="FFB6E645"/>
    <w:rsid w:val="FFBE87D5"/>
    <w:rsid w:val="FFBEE848"/>
    <w:rsid w:val="FFBF6F94"/>
    <w:rsid w:val="FFBFF35B"/>
    <w:rsid w:val="FFCFA707"/>
    <w:rsid w:val="FFD6E7B4"/>
    <w:rsid w:val="FFD74E19"/>
    <w:rsid w:val="FFDC935A"/>
    <w:rsid w:val="FFDCF2F7"/>
    <w:rsid w:val="FFDD416B"/>
    <w:rsid w:val="FFDE5E70"/>
    <w:rsid w:val="FFDEDE89"/>
    <w:rsid w:val="FFDF05EE"/>
    <w:rsid w:val="FFDFC060"/>
    <w:rsid w:val="FFE3CFEE"/>
    <w:rsid w:val="FFECBDE7"/>
    <w:rsid w:val="FFEE9638"/>
    <w:rsid w:val="FFEFC88F"/>
    <w:rsid w:val="FFF335F4"/>
    <w:rsid w:val="FFF3928A"/>
    <w:rsid w:val="FFF43571"/>
    <w:rsid w:val="FFF4EBEF"/>
    <w:rsid w:val="FFF5B352"/>
    <w:rsid w:val="FFF72966"/>
    <w:rsid w:val="FFF73EDB"/>
    <w:rsid w:val="FFF7FDE5"/>
    <w:rsid w:val="FFF9815C"/>
    <w:rsid w:val="FFFA37B5"/>
    <w:rsid w:val="FFFB083C"/>
    <w:rsid w:val="FFFB69F5"/>
    <w:rsid w:val="FFFD4F1D"/>
    <w:rsid w:val="FFFD85A8"/>
    <w:rsid w:val="FFFDAA44"/>
    <w:rsid w:val="FFFE3DBD"/>
    <w:rsid w:val="FFFE722A"/>
    <w:rsid w:val="FFFEB149"/>
    <w:rsid w:val="FFFEE4AB"/>
    <w:rsid w:val="FFFF0C78"/>
    <w:rsid w:val="FFFF17DC"/>
    <w:rsid w:val="FFFF3BA0"/>
    <w:rsid w:val="FFFF48FE"/>
    <w:rsid w:val="FFFF7CC9"/>
    <w:rsid w:val="FFFF916F"/>
    <w:rsid w:val="FFFFA6FE"/>
    <w:rsid w:val="FFFFA981"/>
    <w:rsid w:val="FFFFAE72"/>
    <w:rsid w:val="FFFFC019"/>
    <w:rsid w:val="FFFFC080"/>
    <w:rsid w:val="FFFFC67A"/>
    <w:rsid w:val="FFFFCBAF"/>
    <w:rsid w:val="FFFFD1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iPriority="99"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 w:cs="Arial"/>
      <w:kern w:val="2"/>
      <w:sz w:val="32"/>
      <w:szCs w:val="22"/>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HTML Address"/>
    <w:basedOn w:val="1"/>
    <w:unhideWhenUsed/>
    <w:qFormat/>
    <w:uiPriority w:val="99"/>
    <w:rPr>
      <w:i/>
    </w:rPr>
  </w:style>
  <w:style w:type="paragraph" w:styleId="3">
    <w:name w:val="index 5"/>
    <w:basedOn w:val="1"/>
    <w:next w:val="1"/>
    <w:qFormat/>
    <w:uiPriority w:val="0"/>
    <w:pPr>
      <w:ind w:left="1680"/>
    </w:pPr>
  </w:style>
  <w:style w:type="paragraph" w:styleId="4">
    <w:name w:val="Plain Text"/>
    <w:basedOn w:val="1"/>
    <w:qFormat/>
    <w:uiPriority w:val="0"/>
    <w:pPr>
      <w:adjustRightInd/>
      <w:snapToGrid/>
      <w:spacing w:line="240" w:lineRule="auto"/>
      <w:ind w:firstLine="0"/>
    </w:pPr>
    <w:rPr>
      <w:rFonts w:ascii="宋体" w:eastAsia="宋体"/>
      <w:szCs w:val="20"/>
    </w:rPr>
  </w:style>
  <w:style w:type="paragraph" w:styleId="5">
    <w:name w:val="endnote text"/>
    <w:basedOn w:val="1"/>
    <w:semiHidden/>
    <w:qFormat/>
    <w:uiPriority w:val="99"/>
    <w:pPr>
      <w:snapToGrid w:val="0"/>
      <w:jc w:val="left"/>
    </w:pPr>
  </w:style>
  <w:style w:type="paragraph" w:styleId="6">
    <w:name w:val="Balloon Text"/>
    <w:basedOn w:val="1"/>
    <w:next w:val="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2"/>
    <w:basedOn w:val="1"/>
    <w:next w:val="1"/>
    <w:qFormat/>
    <w:uiPriority w:val="0"/>
    <w:pPr>
      <w:adjustRightInd/>
      <w:snapToGrid/>
      <w:spacing w:line="240" w:lineRule="auto"/>
      <w:ind w:left="200" w:leftChars="200" w:firstLine="0"/>
    </w:pPr>
    <w:rPr>
      <w:rFonts w:ascii="等线" w:eastAsia="等线"/>
      <w:sz w:val="21"/>
      <w:szCs w:val="22"/>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Default"/>
    <w:basedOn w:val="16"/>
    <w:next w:val="17"/>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paragraph" w:customStyle="1" w:styleId="16">
    <w:name w:val="纯文本1"/>
    <w:basedOn w:val="1"/>
    <w:next w:val="4"/>
    <w:qFormat/>
    <w:uiPriority w:val="0"/>
    <w:pPr>
      <w:adjustRightInd/>
      <w:snapToGrid/>
      <w:spacing w:line="240" w:lineRule="auto"/>
      <w:ind w:firstLine="0"/>
    </w:pPr>
    <w:rPr>
      <w:rFonts w:ascii="宋体" w:eastAsia="宋体" w:cs="黑体"/>
      <w:sz w:val="21"/>
      <w:szCs w:val="21"/>
    </w:rPr>
  </w:style>
  <w:style w:type="paragraph" w:customStyle="1" w:styleId="17">
    <w:name w:val="样式35"/>
    <w:next w:val="18"/>
    <w:qFormat/>
    <w:uiPriority w:val="0"/>
    <w:pPr>
      <w:widowControl w:val="0"/>
      <w:spacing w:line="312" w:lineRule="auto"/>
      <w:ind w:firstLine="567"/>
      <w:jc w:val="both"/>
    </w:pPr>
    <w:rPr>
      <w:rFonts w:ascii="宋体" w:hAnsi="Times New Roman" w:eastAsia="宋体" w:cs="Times New Roman"/>
      <w:kern w:val="2"/>
      <w:sz w:val="21"/>
      <w:szCs w:val="22"/>
      <w:lang w:val="en-US" w:eastAsia="zh-CN" w:bidi="ar-SA"/>
    </w:rPr>
  </w:style>
  <w:style w:type="paragraph" w:customStyle="1" w:styleId="18">
    <w:name w:val="font6"/>
    <w:basedOn w:val="1"/>
    <w:next w:val="9"/>
    <w:qFormat/>
    <w:uiPriority w:val="0"/>
    <w:pPr>
      <w:widowControl/>
      <w:adjustRightInd/>
      <w:snapToGrid/>
      <w:spacing w:before="100" w:beforeAutospacing="1" w:after="100" w:afterAutospacing="1" w:line="240" w:lineRule="auto"/>
      <w:ind w:firstLine="0"/>
      <w:jc w:val="left"/>
    </w:pPr>
    <w:rPr>
      <w:rFonts w:ascii="宋体" w:eastAsia="宋体" w:cs="宋体"/>
      <w:kern w:val="0"/>
      <w:sz w:val="20"/>
      <w:szCs w:val="20"/>
    </w:rPr>
  </w:style>
  <w:style w:type="paragraph" w:customStyle="1" w:styleId="19">
    <w:name w:val="页眉与页脚"/>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lang w:val="en-US" w:eastAsia="zh-CN" w:bidi="ar-SA"/>
    </w:rPr>
  </w:style>
  <w:style w:type="paragraph" w:customStyle="1" w:styleId="20">
    <w:name w:val="Table Paragraph"/>
    <w:basedOn w:val="1"/>
    <w:qFormat/>
    <w:uiPriority w:val="1"/>
    <w:pPr>
      <w:autoSpaceDE w:val="0"/>
      <w:autoSpaceDN w:val="0"/>
      <w:adjustRightInd w:val="0"/>
      <w:jc w:val="left"/>
    </w:pPr>
    <w:rPr>
      <w:rFonts w:ascii="宋体" w:hAnsi="Times New Roman" w:eastAsia="宋体" w:cs="宋体"/>
      <w:kern w:val="0"/>
      <w:sz w:val="24"/>
      <w:szCs w:val="24"/>
    </w:rPr>
  </w:style>
  <w:style w:type="paragraph" w:styleId="21">
    <w:name w:val="List Paragraph"/>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420"/>
      <w:jc w:val="both"/>
      <w:outlineLvl w:val="9"/>
    </w:pPr>
    <w:rPr>
      <w:rFonts w:ascii="等线" w:hAnsi="等线" w:eastAsia="等线" w:cs="等线"/>
      <w:color w:val="000000"/>
      <w:spacing w:val="0"/>
      <w:w w:val="100"/>
      <w:kern w:val="2"/>
      <w:position w:val="0"/>
      <w:sz w:val="22"/>
      <w:szCs w:val="22"/>
      <w:u w:val="none" w:color="000000"/>
      <w:vertAlign w:val="baseline"/>
      <w:lang w:val="en-US"/>
    </w:rPr>
  </w:style>
  <w:style w:type="character" w:customStyle="1" w:styleId="22">
    <w:name w:val="font0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17777</Words>
  <Characters>20602</Characters>
  <Lines>0</Lines>
  <Paragraphs>0</Paragraphs>
  <TotalTime>7</TotalTime>
  <ScaleCrop>false</ScaleCrop>
  <LinksUpToDate>false</LinksUpToDate>
  <CharactersWithSpaces>20636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2024-04-05T22:45:00Z</dcterms:created>
  <dc:creator>user</dc:creator>
  <cp:lastModifiedBy>inspur</cp:lastModifiedBy>
  <cp:lastPrinted>2026-03-14T10:57:00Z</cp:lastPrinted>
  <dcterms:modified xsi:type="dcterms:W3CDTF">2026-08-31T17:25:56Z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eyJoZGlkIjoiNTUwOGQwZTA5NDBkMGIxY2ExMTQ4OTIzNzNkNDc1OTMiLCJ1c2VySWQiOiI3ODIzOTExNzQifQ==</vt:lpwstr>
  </property>
  <property fmtid="{D5CDD505-2E9C-101B-9397-08002B2CF9AE}" pid="4" name="ICV">
    <vt:lpwstr>E8CC6C2C80B94B94B73B0949AF5EFBB9_12</vt:lpwstr>
  </property>
</Properties>
</file>