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0"/>
        <w:jc w:val="left"/>
        <w:rPr>
          <w:rFonts w:ascii="Times New Roman" w:hAnsi="Times New Roman" w:cs="Times New Roman"/>
          <w:color w:val="000000" w:themeColor="text1"/>
          <w:lang w:val="en-US" w:eastAsia="zh-CN"/>
          <w14:textFill>
            <w14:solidFill>
              <w14:schemeClr w14:val="tx1"/>
            </w14:solidFill>
          </w14:textFill>
        </w:rPr>
      </w:pPr>
      <w:bookmarkStart w:id="1" w:name="_GoBack"/>
      <w:bookmarkEnd w:id="1"/>
      <w:r>
        <w:rPr>
          <w:rFonts w:ascii="Times New Roman" w:hAnsi="Times New Roman" w:cs="Times New Roman"/>
          <w:color w:val="000000" w:themeColor="text1"/>
          <w:lang w:eastAsia="zh-CN"/>
          <w14:textFill>
            <w14:solidFill>
              <w14:schemeClr w14:val="tx1"/>
            </w14:solidFill>
          </w14:textFill>
        </w:rPr>
        <w:t>附件</w:t>
      </w:r>
      <w:r>
        <w:rPr>
          <w:rFonts w:ascii="Times New Roman" w:hAnsi="Times New Roman" w:cs="Times New Roman"/>
          <w:color w:val="000000" w:themeColor="text1"/>
          <w:lang w:val="en-US" w:eastAsia="zh-CN"/>
          <w14:textFill>
            <w14:solidFill>
              <w14:schemeClr w14:val="tx1"/>
            </w14:solidFill>
          </w14:textFill>
        </w:rPr>
        <w:t>1</w:t>
      </w:r>
    </w:p>
    <w:p>
      <w:pPr>
        <w:spacing w:line="540" w:lineRule="exact"/>
        <w:jc w:val="center"/>
        <w:rPr>
          <w:rFonts w:ascii="Times New Roman" w:hAnsi="Times New Roman" w:cs="Times New Roman"/>
          <w:b/>
          <w:bCs/>
          <w:color w:val="000000" w:themeColor="text1"/>
          <w:sz w:val="44"/>
          <w:szCs w:val="44"/>
          <w:lang w:val="en-US" w:eastAsia="zh-CN"/>
          <w14:textFill>
            <w14:solidFill>
              <w14:schemeClr w14:val="tx1"/>
            </w14:solidFill>
          </w14:textFill>
        </w:rPr>
      </w:pPr>
    </w:p>
    <w:p>
      <w:pPr>
        <w:autoSpaceDE w:val="0"/>
        <w:spacing w:line="540" w:lineRule="exact"/>
        <w:jc w:val="center"/>
        <w:rPr>
          <w:rFonts w:ascii="Times New Roman" w:hAnsi="Times New Roman" w:cs="Times New Roman"/>
          <w:b/>
          <w:bCs/>
          <w:color w:val="000000" w:themeColor="text1"/>
          <w:sz w:val="44"/>
          <w:szCs w:val="44"/>
          <w14:textFill>
            <w14:solidFill>
              <w14:schemeClr w14:val="tx1"/>
            </w14:solidFill>
          </w14:textFill>
        </w:rPr>
      </w:pPr>
      <w:r>
        <w:rPr>
          <w:rFonts w:ascii="Times New Roman" w:hAnsi="Times New Roman" w:cs="Times New Roman"/>
          <w:b/>
          <w:bCs/>
          <w:color w:val="000000" w:themeColor="text1"/>
          <w:w w:val="95"/>
          <w:sz w:val="44"/>
          <w:szCs w:val="44"/>
          <w14:textFill>
            <w14:solidFill>
              <w14:schemeClr w14:val="tx1"/>
            </w14:solidFill>
          </w14:textFill>
        </w:rPr>
        <w:t>福建省泉州环境监测中心站监测大楼物业管理服务项目采购方案</w:t>
      </w:r>
    </w:p>
    <w:p>
      <w:pPr>
        <w:spacing w:line="540" w:lineRule="exact"/>
        <w:ind w:right="0" w:firstLine="560"/>
        <w:rPr>
          <w:rFonts w:ascii="Times New Roman" w:hAnsi="Times New Roman" w:eastAsia="黑体" w:cs="Times New Roman"/>
          <w:b/>
          <w:bCs/>
          <w:color w:val="000000" w:themeColor="text1"/>
          <w:sz w:val="28"/>
          <w:szCs w:val="28"/>
          <w14:textFill>
            <w14:solidFill>
              <w14:schemeClr w14:val="tx1"/>
            </w14:solidFill>
          </w14:textFill>
        </w:rPr>
      </w:pPr>
    </w:p>
    <w:p>
      <w:pPr>
        <w:spacing w:line="540" w:lineRule="exact"/>
        <w:ind w:right="0" w:firstLine="560"/>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一、项目概况</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福建省泉州环境监测中心站监测大楼位于泉州市鲤城区新华南路91号，共有A、B两栋，总建筑面积5749.15平方米，其中</w:t>
      </w:r>
      <w:r>
        <w:rPr>
          <w:rFonts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A栋有六层，主要为办公场所（</w:t>
      </w:r>
      <w:r>
        <w:rPr>
          <w:rFonts w:ascii="Times New Roman" w:hAnsi="Times New Roman" w:eastAsia="仿宋_GB2312" w:cs="Times New Roman"/>
          <w:color w:val="000000" w:themeColor="text1"/>
          <w:sz w:val="28"/>
          <w:szCs w:val="28"/>
          <w:lang w:eastAsia="zh-CN"/>
          <w14:textFill>
            <w14:solidFill>
              <w14:schemeClr w14:val="tx1"/>
            </w14:solidFill>
          </w14:textFill>
        </w:rPr>
        <w:t>第</w:t>
      </w:r>
      <w:r>
        <w:rPr>
          <w:rFonts w:ascii="Times New Roman" w:hAnsi="Times New Roman" w:eastAsia="仿宋_GB2312" w:cs="Times New Roman"/>
          <w:color w:val="000000" w:themeColor="text1"/>
          <w:sz w:val="28"/>
          <w:szCs w:val="28"/>
          <w14:textFill>
            <w14:solidFill>
              <w14:schemeClr w14:val="tx1"/>
            </w14:solidFill>
          </w14:textFill>
        </w:rPr>
        <w:t>五层为实验场所）</w:t>
      </w:r>
      <w:r>
        <w:rPr>
          <w:rFonts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B栋有五层，均为实验场所。本项目主要包括安全保卫、卫生保洁、水电维修、电梯运行</w:t>
      </w:r>
      <w:r>
        <w:rPr>
          <w:rFonts w:ascii="Times New Roman" w:hAnsi="Times New Roman" w:eastAsia="仿宋_GB2312" w:cs="Times New Roman"/>
          <w:color w:val="000000" w:themeColor="text1"/>
          <w:sz w:val="28"/>
          <w:szCs w:val="28"/>
          <w:lang w:val="en-US" w:eastAsia="zh-CN"/>
          <w14:textFill>
            <w14:solidFill>
              <w14:schemeClr w14:val="tx1"/>
            </w14:solidFill>
          </w14:textFill>
        </w:rPr>
        <w:t>以及</w:t>
      </w:r>
      <w:r>
        <w:rPr>
          <w:rFonts w:ascii="Times New Roman" w:hAnsi="Times New Roman" w:eastAsia="仿宋_GB2312" w:cs="Times New Roman"/>
          <w:color w:val="000000" w:themeColor="text1"/>
          <w:sz w:val="28"/>
          <w:szCs w:val="28"/>
          <w14:textFill>
            <w14:solidFill>
              <w14:schemeClr w14:val="tx1"/>
            </w14:solidFill>
          </w14:textFill>
        </w:rPr>
        <w:t>环境监测后勤保障服务等。环境监测后勤保障服务</w:t>
      </w:r>
      <w:r>
        <w:rPr>
          <w:rFonts w:ascii="Times New Roman" w:hAnsi="Times New Roman" w:eastAsia="仿宋_GB2312" w:cs="Times New Roman"/>
          <w:color w:val="000000" w:themeColor="text1"/>
          <w:sz w:val="28"/>
          <w:szCs w:val="28"/>
          <w:lang w:val="en-US" w:eastAsia="zh-CN"/>
          <w14:textFill>
            <w14:solidFill>
              <w14:schemeClr w14:val="tx1"/>
            </w14:solidFill>
          </w14:textFill>
        </w:rPr>
        <w:t>包括但不限于单位车辆驾驶、公车日常管理及台账整理、监测协助、办公辅助、应急任务及其他领导交办的工作。</w:t>
      </w:r>
    </w:p>
    <w:p>
      <w:pPr>
        <w:spacing w:line="540" w:lineRule="exact"/>
        <w:ind w:right="0" w:firstLine="560"/>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二、项目建设必要性</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根据后勤工作实际需要，将监测大楼物业委托给有资质的物业公司管理，为我站提供专业的物业管理服务，保障日常办公和监测工作的开展。</w:t>
      </w:r>
    </w:p>
    <w:p>
      <w:pPr>
        <w:spacing w:line="540" w:lineRule="exact"/>
        <w:ind w:right="0" w:firstLine="560"/>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三、项目建设主要内容</w:t>
      </w:r>
    </w:p>
    <w:p>
      <w:pPr>
        <w:spacing w:line="540" w:lineRule="exact"/>
        <w:ind w:right="0" w:firstLine="645"/>
        <w:rPr>
          <w:rFonts w:ascii="Times New Roman" w:hAnsi="Times New Roman" w:eastAsia="楷体_GB2312" w:cs="Times New Roman"/>
          <w:color w:val="000000" w:themeColor="text1"/>
          <w:sz w:val="28"/>
          <w:szCs w:val="28"/>
          <w14:textFill>
            <w14:solidFill>
              <w14:schemeClr w14:val="tx1"/>
            </w14:solidFill>
          </w14:textFill>
        </w:rPr>
      </w:pPr>
      <w:r>
        <w:rPr>
          <w:rFonts w:ascii="Times New Roman" w:hAnsi="Times New Roman" w:eastAsia="楷体_GB2312" w:cs="Times New Roman"/>
          <w:color w:val="000000" w:themeColor="text1"/>
          <w:sz w:val="28"/>
          <w:szCs w:val="28"/>
          <w14:textFill>
            <w14:solidFill>
              <w14:schemeClr w14:val="tx1"/>
            </w14:solidFill>
          </w14:textFill>
        </w:rPr>
        <w:t>（一）项目主管（1人，可兼职，身体健康、无传染性疾病、无犯罪记录）</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1</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负责与</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沟通协调，能够及时处理突发事件，有较高的政治思想素质和服务水平。</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负责项目人员的调配与管理，做好人员岗前培训，落实各工作岗位责任，并随时检查工作情况，确保合同履约。</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3. 每年需参加市/区消防应急能力培训（提供证书或相关证明材料）。</w:t>
      </w:r>
    </w:p>
    <w:p>
      <w:pPr>
        <w:spacing w:line="540" w:lineRule="exact"/>
        <w:ind w:right="0" w:firstLine="645"/>
        <w:rPr>
          <w:rFonts w:ascii="Times New Roman" w:hAnsi="Times New Roman" w:eastAsia="楷体_GB2312" w:cs="Times New Roman"/>
          <w:color w:val="000000" w:themeColor="text1"/>
          <w:sz w:val="28"/>
          <w:szCs w:val="28"/>
          <w14:textFill>
            <w14:solidFill>
              <w14:schemeClr w14:val="tx1"/>
            </w14:solidFill>
          </w14:textFill>
        </w:rPr>
      </w:pPr>
      <w:r>
        <w:rPr>
          <w:rFonts w:ascii="Times New Roman" w:hAnsi="Times New Roman" w:eastAsia="楷体_GB2312" w:cs="Times New Roman"/>
          <w:color w:val="000000" w:themeColor="text1"/>
          <w:sz w:val="28"/>
          <w:szCs w:val="28"/>
          <w14:textFill>
            <w14:solidFill>
              <w14:schemeClr w14:val="tx1"/>
            </w14:solidFill>
          </w14:textFill>
        </w:rPr>
        <w:t>（二）安全保卫服务（3人，身体健康、无传染性疾病、无犯罪记录）</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1</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服务时间：保安</w:t>
      </w:r>
      <w:r>
        <w:rPr>
          <w:rFonts w:ascii="Times New Roman" w:hAnsi="Times New Roman" w:eastAsia="仿宋_GB2312" w:cs="Times New Roman"/>
          <w:color w:val="000000" w:themeColor="text1"/>
          <w:sz w:val="28"/>
          <w:szCs w:val="28"/>
          <w:lang w:eastAsia="zh-CN"/>
          <w14:textFill>
            <w14:solidFill>
              <w14:schemeClr w14:val="tx1"/>
            </w14:solidFill>
          </w14:textFill>
        </w:rPr>
        <w:t>人员</w:t>
      </w:r>
      <w:r>
        <w:rPr>
          <w:rFonts w:ascii="Times New Roman" w:hAnsi="Times New Roman" w:eastAsia="仿宋_GB2312" w:cs="Times New Roman"/>
          <w:color w:val="000000" w:themeColor="text1"/>
          <w:sz w:val="28"/>
          <w:szCs w:val="28"/>
          <w14:textFill>
            <w14:solidFill>
              <w14:schemeClr w14:val="tx1"/>
            </w14:solidFill>
          </w14:textFill>
        </w:rPr>
        <w:t>24小时值班看守，工作日7</w:t>
      </w:r>
      <w:r>
        <w:rPr>
          <w:rFonts w:ascii="Times New Roman" w:hAnsi="Times New Roman" w:eastAsia="仿宋_GB2312" w:cs="Times New Roman"/>
          <w:color w:val="000000" w:themeColor="text1"/>
          <w:sz w:val="28"/>
          <w:szCs w:val="28"/>
          <w:lang w:val="en-US"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30-8</w:t>
      </w:r>
      <w:r>
        <w:rPr>
          <w:rFonts w:ascii="Times New Roman" w:hAnsi="Times New Roman" w:eastAsia="仿宋_GB2312" w:cs="Times New Roman"/>
          <w:color w:val="000000" w:themeColor="text1"/>
          <w:sz w:val="28"/>
          <w:szCs w:val="28"/>
          <w:lang w:val="en-US"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30；14</w:t>
      </w:r>
      <w:r>
        <w:rPr>
          <w:rFonts w:ascii="Times New Roman" w:hAnsi="Times New Roman" w:eastAsia="仿宋_GB2312" w:cs="Times New Roman"/>
          <w:color w:val="000000" w:themeColor="text1"/>
          <w:sz w:val="28"/>
          <w:szCs w:val="28"/>
          <w:lang w:val="en-US"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00-15</w:t>
      </w:r>
      <w:r>
        <w:rPr>
          <w:rFonts w:ascii="Times New Roman" w:hAnsi="Times New Roman" w:eastAsia="仿宋_GB2312" w:cs="Times New Roman"/>
          <w:color w:val="000000" w:themeColor="text1"/>
          <w:sz w:val="28"/>
          <w:szCs w:val="28"/>
          <w:lang w:val="en-US"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00期间必须站岗，夜间保证保安人员两小时全楼巡视一次</w:t>
      </w:r>
      <w:r>
        <w:rPr>
          <w:rFonts w:ascii="Times New Roman" w:hAnsi="Times New Roman" w:eastAsia="仿宋_GB2312" w:cs="Times New Roman"/>
          <w:color w:val="000000" w:themeColor="text1"/>
          <w:sz w:val="28"/>
          <w:szCs w:val="28"/>
          <w:lang w:eastAsia="zh-CN"/>
          <w14:textFill>
            <w14:solidFill>
              <w14:schemeClr w14:val="tx1"/>
            </w14:solidFill>
          </w14:textFill>
        </w:rPr>
        <w:t>，每月对办公区域安全疏散通道、楼梯间及安全出口进行消防安全检查，若排查发现安全隐患，须做好台账登记，并第一时间向采购方报备</w:t>
      </w:r>
      <w:r>
        <w:rPr>
          <w:rFonts w:ascii="Times New Roman" w:hAnsi="Times New Roman" w:eastAsia="仿宋_GB2312" w:cs="Times New Roman"/>
          <w:color w:val="000000" w:themeColor="text1"/>
          <w:sz w:val="28"/>
          <w:szCs w:val="28"/>
          <w14:textFill>
            <w14:solidFill>
              <w14:schemeClr w14:val="tx1"/>
            </w14:solidFill>
          </w14:textFill>
        </w:rPr>
        <w:t>。保安排班应符合国家工时管理规定，因满足工时要求需增配人员的，相关费用由供应商承担并包含在报价内，不另行计价。</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交接班：有详细完整的交接班记录。</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外来车辆及外来人员：实行外来车辆、人员登记，严格控制车辆、无关人员随意进出监测大楼与停车场。</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4</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保持值班室、一楼大厅及门口环境整洁，负责报刊</w:t>
      </w:r>
      <w:r>
        <w:rPr>
          <w:rFonts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邮件</w:t>
      </w:r>
      <w:r>
        <w:rPr>
          <w:rFonts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快递收发。</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5</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夜间：工作人员下班后关闭大门，对公共区域门窗及楼道窗户关闭情况进行必要的安全检查，关闭各楼道内不必要电灯。遇台风等灾害性天气，要及时通知</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关闭门窗，做好必要的安全措施。</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6</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消防安防：每季度至少开展</w:t>
      </w:r>
      <w:r>
        <w:rPr>
          <w:rFonts w:ascii="Times New Roman" w:hAnsi="Times New Roman" w:eastAsia="仿宋_GB2312" w:cs="Times New Roman"/>
          <w:color w:val="000000" w:themeColor="text1"/>
          <w:sz w:val="28"/>
          <w:szCs w:val="28"/>
          <w:lang w:eastAsia="zh-CN"/>
          <w14:textFill>
            <w14:solidFill>
              <w14:schemeClr w14:val="tx1"/>
            </w14:solidFill>
          </w14:textFill>
        </w:rPr>
        <w:t>一</w:t>
      </w:r>
      <w:r>
        <w:rPr>
          <w:rFonts w:ascii="Times New Roman" w:hAnsi="Times New Roman" w:eastAsia="仿宋_GB2312" w:cs="Times New Roman"/>
          <w:color w:val="000000" w:themeColor="text1"/>
          <w:sz w:val="28"/>
          <w:szCs w:val="28"/>
          <w14:textFill>
            <w14:solidFill>
              <w14:schemeClr w14:val="tx1"/>
            </w14:solidFill>
          </w14:textFill>
        </w:rPr>
        <w:t>次消防设施检查（需出具正式的检查报告，如</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无消防检查相关资质，应委托有资质的单位，费用由</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负责），确保完好无损，保持监控记录完整，发现问题及时报告</w:t>
      </w:r>
      <w:r>
        <w:rPr>
          <w:rFonts w:ascii="Times New Roman" w:hAnsi="Times New Roman" w:eastAsia="仿宋_GB2312" w:cs="Times New Roman"/>
          <w:color w:val="000000" w:themeColor="text1"/>
          <w:sz w:val="28"/>
          <w:szCs w:val="28"/>
          <w:lang w:eastAsia="zh-CN"/>
          <w14:textFill>
            <w14:solidFill>
              <w14:schemeClr w14:val="tx1"/>
            </w14:solidFill>
          </w14:textFill>
        </w:rPr>
        <w:t>；每年至少开展</w:t>
      </w:r>
      <w:r>
        <w:rPr>
          <w:rFonts w:ascii="Times New Roman" w:hAnsi="Times New Roman" w:eastAsia="仿宋_GB2312" w:cs="Times New Roman"/>
          <w:color w:val="000000" w:themeColor="text1"/>
          <w:sz w:val="28"/>
          <w:szCs w:val="28"/>
          <w:lang w:val="en-US" w:eastAsia="zh-CN"/>
          <w14:textFill>
            <w14:solidFill>
              <w14:schemeClr w14:val="tx1"/>
            </w14:solidFill>
          </w14:textFill>
        </w:rPr>
        <w:t>一次消防培训和消防安全演练</w:t>
      </w:r>
      <w:r>
        <w:rPr>
          <w:rFonts w:ascii="Times New Roman" w:hAnsi="Times New Roman" w:eastAsia="仿宋_GB2312" w:cs="Times New Roman"/>
          <w:color w:val="000000" w:themeColor="text1"/>
          <w:sz w:val="28"/>
          <w:szCs w:val="28"/>
          <w14:textFill>
            <w14:solidFill>
              <w14:schemeClr w14:val="tx1"/>
            </w14:solidFill>
          </w14:textFill>
        </w:rPr>
        <w:t>。</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7</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应急响应：接到火警、警情后1分钟内到达现场，并报</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与警方，协助采取有关措施。</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8</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工作纪律：保安</w:t>
      </w:r>
      <w:r>
        <w:rPr>
          <w:rFonts w:ascii="Times New Roman" w:hAnsi="Times New Roman" w:eastAsia="仿宋_GB2312" w:cs="Times New Roman"/>
          <w:color w:val="000000" w:themeColor="text1"/>
          <w:sz w:val="28"/>
          <w:szCs w:val="28"/>
          <w:lang w:eastAsia="zh-CN"/>
          <w14:textFill>
            <w14:solidFill>
              <w14:schemeClr w14:val="tx1"/>
            </w14:solidFill>
          </w14:textFill>
        </w:rPr>
        <w:t>人员</w:t>
      </w:r>
      <w:r>
        <w:rPr>
          <w:rFonts w:ascii="Times New Roman" w:hAnsi="Times New Roman" w:eastAsia="仿宋_GB2312" w:cs="Times New Roman"/>
          <w:color w:val="000000" w:themeColor="text1"/>
          <w:sz w:val="28"/>
          <w:szCs w:val="28"/>
          <w14:textFill>
            <w14:solidFill>
              <w14:schemeClr w14:val="tx1"/>
            </w14:solidFill>
          </w14:textFill>
        </w:rPr>
        <w:t>在工作期间要接受</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的领导和监督，遵守</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的有关规章制度。</w:t>
      </w:r>
    </w:p>
    <w:p>
      <w:pPr>
        <w:spacing w:line="540" w:lineRule="exact"/>
        <w:ind w:right="0" w:firstLine="645"/>
        <w:rPr>
          <w:rFonts w:ascii="Times New Roman" w:hAnsi="Times New Roman" w:eastAsia="楷体_GB2312" w:cs="Times New Roman"/>
          <w:color w:val="000000" w:themeColor="text1"/>
          <w:sz w:val="28"/>
          <w:szCs w:val="28"/>
          <w14:textFill>
            <w14:solidFill>
              <w14:schemeClr w14:val="tx1"/>
            </w14:solidFill>
          </w14:textFill>
        </w:rPr>
      </w:pPr>
      <w:r>
        <w:rPr>
          <w:rFonts w:ascii="Times New Roman" w:hAnsi="Times New Roman" w:eastAsia="楷体_GB2312" w:cs="Times New Roman"/>
          <w:color w:val="000000" w:themeColor="text1"/>
          <w:sz w:val="28"/>
          <w:szCs w:val="28"/>
          <w14:textFill>
            <w14:solidFill>
              <w14:schemeClr w14:val="tx1"/>
            </w14:solidFill>
          </w14:textFill>
        </w:rPr>
        <w:t>（三）保洁服务（2人，身体健康、无传染性疾病、无犯罪记录）</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1</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领导办公室、楼道地面、楼梯、电梯每日拖洗一至两次，巡回保洁，无积灰、污迹、垃圾、积水。</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会议室、党员活动室、</w:t>
      </w:r>
      <w:r>
        <w:rPr>
          <w:rFonts w:ascii="Times New Roman" w:hAnsi="Times New Roman" w:eastAsia="仿宋_GB2312" w:cs="Times New Roman"/>
          <w:color w:val="000000" w:themeColor="text1"/>
          <w:sz w:val="28"/>
          <w:szCs w:val="28"/>
          <w:lang w:eastAsia="zh-CN"/>
          <w14:textFill>
            <w14:solidFill>
              <w14:schemeClr w14:val="tx1"/>
            </w14:solidFill>
          </w14:textFill>
        </w:rPr>
        <w:t>职工</w:t>
      </w:r>
      <w:r>
        <w:rPr>
          <w:rFonts w:ascii="Times New Roman" w:hAnsi="Times New Roman" w:eastAsia="仿宋_GB2312" w:cs="Times New Roman"/>
          <w:color w:val="000000" w:themeColor="text1"/>
          <w:sz w:val="28"/>
          <w:szCs w:val="28"/>
          <w14:textFill>
            <w14:solidFill>
              <w14:schemeClr w14:val="tx1"/>
            </w14:solidFill>
          </w14:textFill>
        </w:rPr>
        <w:t>之家、宣传栏、房顶等公共区域根据</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需要进行不定期</w:t>
      </w:r>
      <w:r>
        <w:rPr>
          <w:rFonts w:ascii="Times New Roman" w:hAnsi="Times New Roman" w:eastAsia="仿宋_GB2312" w:cs="Times New Roman"/>
          <w:color w:val="000000" w:themeColor="text1"/>
          <w:sz w:val="28"/>
          <w:szCs w:val="28"/>
          <w:lang w:eastAsia="zh-CN"/>
          <w14:textFill>
            <w14:solidFill>
              <w14:schemeClr w14:val="tx1"/>
            </w14:solidFill>
          </w14:textFill>
        </w:rPr>
        <w:t>清洗</w:t>
      </w:r>
      <w:r>
        <w:rPr>
          <w:rFonts w:ascii="Times New Roman" w:hAnsi="Times New Roman" w:eastAsia="仿宋_GB2312" w:cs="Times New Roman"/>
          <w:color w:val="000000" w:themeColor="text1"/>
          <w:sz w:val="28"/>
          <w:szCs w:val="28"/>
          <w14:textFill>
            <w14:solidFill>
              <w14:schemeClr w14:val="tx1"/>
            </w14:solidFill>
          </w14:textFill>
        </w:rPr>
        <w:t>。</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开关盒、表箱盖等：2米以下每周擦抹一次；2米以上每月一次，无灰尘、污迹。</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4</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卫生间每天至少拖洗一至两次，保持地面清洁、无杂物、无积水、无毛发、无异味</w:t>
      </w:r>
      <w:r>
        <w:rPr>
          <w:rFonts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便池、水池下水道要畅通。墙面四周及阴角做到无水迹、无蜘蛛网；镜子及金属部分应保持干净，无浮尘、污渍、手印、水迹、无锈斑；天花板上无污渍、无漏水或有小水泡等现象，保持干净、清洁，完好无损；确保</w:t>
      </w:r>
      <w:r>
        <w:rPr>
          <w:rFonts w:ascii="Times New Roman" w:hAnsi="Times New Roman" w:eastAsia="仿宋_GB2312" w:cs="Times New Roman"/>
          <w:color w:val="000000" w:themeColor="text1"/>
          <w:sz w:val="28"/>
          <w:szCs w:val="28"/>
          <w:lang w:eastAsia="zh-CN"/>
          <w14:textFill>
            <w14:solidFill>
              <w14:schemeClr w14:val="tx1"/>
            </w14:solidFill>
          </w14:textFill>
        </w:rPr>
        <w:t>卫生间</w:t>
      </w:r>
      <w:r>
        <w:rPr>
          <w:rFonts w:ascii="Times New Roman" w:hAnsi="Times New Roman" w:eastAsia="仿宋_GB2312" w:cs="Times New Roman"/>
          <w:color w:val="000000" w:themeColor="text1"/>
          <w:sz w:val="28"/>
          <w:szCs w:val="28"/>
          <w14:textFill>
            <w14:solidFill>
              <w14:schemeClr w14:val="tx1"/>
            </w14:solidFill>
          </w14:textFill>
        </w:rPr>
        <w:t>运作正常；更换洗手液及卫生纸（由</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提供），每日检查，及时补充。</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5</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绿化养护：庭院内绿化养护每季度进行一至两次。</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6</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垃圾管理：按照垃圾分类管理要求，实行垃圾分类并每天清除、外运</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（包括一些）</w:t>
      </w:r>
      <w:r>
        <w:rPr>
          <w:rFonts w:ascii="Times New Roman" w:hAnsi="Times New Roman" w:eastAsia="仿宋_GB2312" w:cs="Times New Roman"/>
          <w:color w:val="000000" w:themeColor="text1"/>
          <w:sz w:val="28"/>
          <w:szCs w:val="28"/>
          <w14:textFill>
            <w14:solidFill>
              <w14:schemeClr w14:val="tx1"/>
            </w14:solidFill>
          </w14:textFill>
        </w:rPr>
        <w:t>，做到垃圾日产日清，</w:t>
      </w:r>
      <w:r>
        <w:rPr>
          <w:rFonts w:hint="eastAsia" w:ascii="Times New Roman" w:hAnsi="Times New Roman" w:eastAsia="仿宋_GB2312" w:cs="Times New Roman"/>
          <w:color w:val="000000" w:themeColor="text1"/>
          <w:sz w:val="28"/>
          <w:szCs w:val="28"/>
          <w14:textFill>
            <w14:solidFill>
              <w14:schemeClr w14:val="tx1"/>
            </w14:solidFill>
          </w14:textFill>
        </w:rPr>
        <w:t>同时涵盖各类大型物件的专项清运工作，全面保障区域环境卫生整洁有序</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每天对公共区域的垃圾桶进行清刷，做到桶体清洁无污迹、无异味、无损坏。</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7</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四害消杀：每年开展一至两次四害消杀，无明显蚊蝇滋生地、鼠迹。</w:t>
      </w:r>
    </w:p>
    <w:p>
      <w:pPr>
        <w:pStyle w:val="19"/>
        <w:spacing w:before="0" w:after="0" w:line="540" w:lineRule="exact"/>
        <w:ind w:right="0" w:firstLine="590"/>
        <w:jc w:val="both"/>
        <w:rPr>
          <w:rFonts w:ascii="Times New Roman" w:hAnsi="Times New Roman" w:eastAsia="楷体_GB2312" w:cs="Times New Roman"/>
          <w:color w:val="000000" w:themeColor="text1"/>
          <w:kern w:val="2"/>
          <w:sz w:val="28"/>
          <w:szCs w:val="28"/>
          <w14:textFill>
            <w14:solidFill>
              <w14:schemeClr w14:val="tx1"/>
            </w14:solidFill>
          </w14:textFill>
        </w:rPr>
      </w:pPr>
      <w:r>
        <w:rPr>
          <w:rFonts w:ascii="Times New Roman" w:hAnsi="Times New Roman" w:eastAsia="楷体_GB2312" w:cs="Times New Roman"/>
          <w:color w:val="000000" w:themeColor="text1"/>
          <w:kern w:val="2"/>
          <w:sz w:val="28"/>
          <w:szCs w:val="28"/>
          <w14:textFill>
            <w14:solidFill>
              <w14:schemeClr w14:val="tx1"/>
            </w14:solidFill>
          </w14:textFill>
        </w:rPr>
        <w:t>（四）公共水电维修</w:t>
      </w:r>
      <w:r>
        <w:rPr>
          <w:rFonts w:ascii="Times New Roman" w:hAnsi="Times New Roman" w:eastAsia="楷体_GB2312" w:cs="Times New Roman"/>
          <w:color w:val="000000" w:themeColor="text1"/>
          <w:sz w:val="28"/>
          <w:szCs w:val="28"/>
          <w14:textFill>
            <w14:solidFill>
              <w14:schemeClr w14:val="tx1"/>
            </w14:solidFill>
          </w14:textFill>
        </w:rPr>
        <w:t>（1人，可兼职，</w:t>
      </w:r>
      <w:r>
        <w:rPr>
          <w:rFonts w:ascii="Times New Roman" w:hAnsi="Times New Roman" w:eastAsia="楷体_GB2312" w:cs="Times New Roman"/>
          <w:color w:val="000000" w:themeColor="text1"/>
          <w:kern w:val="2"/>
          <w:sz w:val="28"/>
          <w:szCs w:val="28"/>
          <w14:textFill>
            <w14:solidFill>
              <w14:schemeClr w14:val="tx1"/>
            </w14:solidFill>
          </w14:textFill>
        </w:rPr>
        <w:t>身体健康、无传染性疾病、无犯罪记录</w:t>
      </w:r>
      <w:r>
        <w:rPr>
          <w:rFonts w:ascii="Times New Roman" w:hAnsi="Times New Roman" w:eastAsia="楷体_GB2312" w:cs="Times New Roman"/>
          <w:color w:val="000000" w:themeColor="text1"/>
          <w:sz w:val="28"/>
          <w:szCs w:val="28"/>
          <w14:textFill>
            <w14:solidFill>
              <w14:schemeClr w14:val="tx1"/>
            </w14:solidFill>
          </w14:textFill>
        </w:rPr>
        <w:t>）</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1</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公共雨、污水管道、房顶：保证畅通无堵，疏通每年至少一次。</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化粪池：保持通畅、无堵塞、无满溢，根据需要每年清掏一至两次，费用由</w:t>
      </w:r>
      <w:r>
        <w:rPr>
          <w:rFonts w:ascii="Times New Roman" w:hAnsi="Times New Roman" w:eastAsia="仿宋_GB2312" w:cs="Times New Roman"/>
          <w:color w:val="000000" w:themeColor="text1"/>
          <w:sz w:val="28"/>
          <w:szCs w:val="28"/>
          <w:lang w:eastAsia="zh-CN"/>
          <w14:textFill>
            <w14:solidFill>
              <w14:schemeClr w14:val="tx1"/>
            </w14:solidFill>
          </w14:textFill>
        </w:rPr>
        <w:t>采购方</w:t>
      </w:r>
      <w:r>
        <w:rPr>
          <w:rFonts w:ascii="Times New Roman" w:hAnsi="Times New Roman" w:eastAsia="仿宋_GB2312" w:cs="Times New Roman"/>
          <w:color w:val="000000" w:themeColor="text1"/>
          <w:sz w:val="28"/>
          <w:szCs w:val="28"/>
          <w14:textFill>
            <w14:solidFill>
              <w14:schemeClr w14:val="tx1"/>
            </w14:solidFill>
          </w14:textFill>
        </w:rPr>
        <w:t>负责。</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排水管、沟：管道通畅，无堵塞外溢现象。</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4</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水管、水龙头：保证水管、水龙头的正常使用，无滴漏现象。</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5</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配电房、配电箱：每年保养，无积尘，接头无松动现象。</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eastAsia="zh-CN"/>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6</w:t>
      </w: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 </w:t>
      </w:r>
      <w:r>
        <w:rPr>
          <w:rFonts w:ascii="Times New Roman" w:hAnsi="Times New Roman" w:eastAsia="仿宋_GB2312" w:cs="Times New Roman"/>
          <w:color w:val="000000" w:themeColor="text1"/>
          <w:sz w:val="28"/>
          <w:szCs w:val="28"/>
          <w14:textFill>
            <w14:solidFill>
              <w14:schemeClr w14:val="tx1"/>
            </w14:solidFill>
          </w14:textFill>
        </w:rPr>
        <w:t>公共使用的照明、指示灯具线路、开关、路灯、楼道灯等保证完好</w:t>
      </w:r>
      <w:r>
        <w:rPr>
          <w:rFonts w:ascii="Times New Roman" w:hAnsi="Times New Roman" w:eastAsia="仿宋_GB2312" w:cs="Times New Roman"/>
          <w:color w:val="000000" w:themeColor="text1"/>
          <w:sz w:val="28"/>
          <w:szCs w:val="28"/>
          <w:lang w:eastAsia="zh-CN"/>
          <w14:textFill>
            <w14:solidFill>
              <w14:schemeClr w14:val="tx1"/>
            </w14:solidFill>
          </w14:textFill>
        </w:rPr>
        <w:t>。</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7. 电路管线：每月检查电动车集中充电等重点要害部位的用电安全状况，</w:t>
      </w:r>
      <w:r>
        <w:rPr>
          <w:rFonts w:ascii="Times New Roman" w:hAnsi="Times New Roman" w:eastAsia="仿宋_GB2312" w:cs="Times New Roman"/>
          <w:color w:val="000000" w:themeColor="text1"/>
          <w:sz w:val="28"/>
          <w:szCs w:val="28"/>
          <w:lang w:eastAsia="zh-CN"/>
          <w14:textFill>
            <w14:solidFill>
              <w14:schemeClr w14:val="tx1"/>
            </w14:solidFill>
          </w14:textFill>
        </w:rPr>
        <w:t>须做好台账登记，每年开展不少于一次电路管线隐患排查</w:t>
      </w:r>
      <w:r>
        <w:rPr>
          <w:rFonts w:ascii="Times New Roman" w:hAnsi="Times New Roman" w:eastAsia="仿宋_GB2312" w:cs="Times New Roman"/>
          <w:color w:val="000000" w:themeColor="text1"/>
          <w:sz w:val="28"/>
          <w:szCs w:val="28"/>
          <w14:textFill>
            <w14:solidFill>
              <w14:schemeClr w14:val="tx1"/>
            </w14:solidFill>
          </w14:textFill>
        </w:rPr>
        <w:t>。</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8. </w:t>
      </w:r>
      <w:r>
        <w:rPr>
          <w:rFonts w:ascii="Times New Roman" w:hAnsi="Times New Roman" w:eastAsia="仿宋_GB2312" w:cs="Times New Roman"/>
          <w:color w:val="000000" w:themeColor="text1"/>
          <w:sz w:val="28"/>
          <w:szCs w:val="28"/>
          <w14:textFill>
            <w14:solidFill>
              <w14:schemeClr w14:val="tx1"/>
            </w14:solidFill>
          </w14:textFill>
        </w:rPr>
        <w:t>玻璃门窗配件完好，门、窗开闭灵活并无异常声响；楼内涉及水电和房屋的各类维修（门、窗、洗手间、供水终端设施、楼梯、房屋地面、墙壁、吊顶、漏水等维修）由</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负责维修。</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 xml:space="preserve">9. </w:t>
      </w:r>
      <w:r>
        <w:rPr>
          <w:rFonts w:ascii="Times New Roman" w:hAnsi="Times New Roman" w:eastAsia="仿宋_GB2312" w:cs="Times New Roman"/>
          <w:color w:val="000000" w:themeColor="text1"/>
          <w:sz w:val="28"/>
          <w:szCs w:val="28"/>
          <w14:textFill>
            <w14:solidFill>
              <w14:schemeClr w14:val="tx1"/>
            </w14:solidFill>
          </w14:textFill>
        </w:rPr>
        <w:t>物业主体建筑零星修缮工程：物业室外停车场、主干道、公共基础设施、屋面防水工程，防震系统维保、防盗系统；室内楼梯、房屋地面由</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负责维修。</w:t>
      </w:r>
    </w:p>
    <w:p>
      <w:pPr>
        <w:pStyle w:val="19"/>
        <w:spacing w:before="0" w:after="0" w:line="540" w:lineRule="exact"/>
        <w:ind w:right="0" w:firstLine="658"/>
        <w:jc w:val="both"/>
        <w:rPr>
          <w:rFonts w:ascii="Times New Roman" w:hAnsi="Times New Roman" w:eastAsia="楷体_GB2312" w:cs="Times New Roman"/>
          <w:color w:val="000000" w:themeColor="text1"/>
          <w:kern w:val="2"/>
          <w:sz w:val="28"/>
          <w:szCs w:val="28"/>
          <w14:textFill>
            <w14:solidFill>
              <w14:schemeClr w14:val="tx1"/>
            </w14:solidFill>
          </w14:textFill>
        </w:rPr>
      </w:pPr>
      <w:r>
        <w:rPr>
          <w:rFonts w:ascii="Times New Roman" w:hAnsi="Times New Roman" w:eastAsia="楷体_GB2312" w:cs="Times New Roman"/>
          <w:color w:val="000000" w:themeColor="text1"/>
          <w:kern w:val="2"/>
          <w:sz w:val="28"/>
          <w:szCs w:val="28"/>
          <w14:textFill>
            <w14:solidFill>
              <w14:schemeClr w14:val="tx1"/>
            </w14:solidFill>
          </w14:textFill>
        </w:rPr>
        <w:t>（五）环境监测后勤保障服务</w:t>
      </w:r>
    </w:p>
    <w:p>
      <w:pPr>
        <w:pStyle w:val="19"/>
        <w:spacing w:before="0" w:after="0" w:line="540" w:lineRule="exact"/>
        <w:ind w:right="0" w:firstLine="658"/>
        <w:jc w:val="both"/>
        <w:rPr>
          <w:rFonts w:hint="eastAsia" w:ascii="仿宋_GB2312" w:hAnsi="仿宋_GB2312" w:eastAsia="仿宋_GB2312" w:cs="仿宋_GB2312"/>
          <w:color w:val="000000" w:themeColor="text1"/>
          <w:kern w:val="2"/>
          <w:sz w:val="28"/>
          <w:szCs w:val="28"/>
          <w:lang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1.常规</w:t>
      </w:r>
      <w:r>
        <w:rPr>
          <w:rFonts w:hint="eastAsia" w:ascii="仿宋_GB2312" w:hAnsi="仿宋_GB2312" w:eastAsia="仿宋_GB2312" w:cs="仿宋_GB2312"/>
          <w:color w:val="000000" w:themeColor="text1"/>
          <w:kern w:val="2"/>
          <w:sz w:val="28"/>
          <w:szCs w:val="28"/>
          <w14:textFill>
            <w14:solidFill>
              <w14:schemeClr w14:val="tx1"/>
            </w14:solidFill>
          </w14:textFill>
        </w:rPr>
        <w:t>环境监测后勤保障服务</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供应商需指派1名符合要求的</w:t>
      </w:r>
      <w:r>
        <w:rPr>
          <w:rFonts w:hint="eastAsia" w:ascii="仿宋_GB2312" w:hAnsi="仿宋_GB2312" w:eastAsia="仿宋_GB2312" w:cs="仿宋_GB2312"/>
          <w:color w:val="000000" w:themeColor="text1"/>
          <w:kern w:val="2"/>
          <w:sz w:val="28"/>
          <w:szCs w:val="28"/>
          <w14:textFill>
            <w14:solidFill>
              <w14:schemeClr w14:val="tx1"/>
            </w14:solidFill>
          </w14:textFill>
        </w:rPr>
        <w:t>后勤保障服务</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人员驻点提供服务</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p>
    <w:p>
      <w:pPr>
        <w:pStyle w:val="19"/>
        <w:spacing w:before="0" w:after="0" w:line="540" w:lineRule="exact"/>
        <w:ind w:right="0" w:firstLine="658"/>
        <w:jc w:val="both"/>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人员基本要求：</w:t>
      </w:r>
      <w:r>
        <w:rPr>
          <w:rFonts w:hint="eastAsia" w:ascii="仿宋_GB2312" w:hAnsi="仿宋_GB2312" w:eastAsia="仿宋_GB2312" w:cs="仿宋_GB2312"/>
          <w:color w:val="000000" w:themeColor="text1"/>
          <w:kern w:val="2"/>
          <w:sz w:val="28"/>
          <w:szCs w:val="28"/>
          <w14:textFill>
            <w14:solidFill>
              <w14:schemeClr w14:val="tx1"/>
            </w14:solidFill>
          </w14:textFill>
        </w:rPr>
        <w:t>四十</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五</w:t>
      </w:r>
      <w:r>
        <w:rPr>
          <w:rFonts w:hint="eastAsia" w:ascii="仿宋_GB2312" w:hAnsi="仿宋_GB2312" w:eastAsia="仿宋_GB2312" w:cs="仿宋_GB2312"/>
          <w:color w:val="000000" w:themeColor="text1"/>
          <w:kern w:val="2"/>
          <w:sz w:val="28"/>
          <w:szCs w:val="28"/>
          <w14:textFill>
            <w14:solidFill>
              <w14:schemeClr w14:val="tx1"/>
            </w14:solidFill>
          </w14:textFill>
        </w:rPr>
        <w:t>周岁以下，具备大专及以上学历，持有</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C1</w:t>
      </w:r>
      <w:r>
        <w:rPr>
          <w:rFonts w:hint="eastAsia" w:ascii="仿宋_GB2312" w:hAnsi="仿宋_GB2312" w:eastAsia="仿宋_GB2312" w:cs="仿宋_GB2312"/>
          <w:color w:val="000000" w:themeColor="text1"/>
          <w:kern w:val="2"/>
          <w:sz w:val="28"/>
          <w:szCs w:val="28"/>
          <w14:textFill>
            <w14:solidFill>
              <w14:schemeClr w14:val="tx1"/>
            </w14:solidFill>
          </w14:textFill>
        </w:rPr>
        <w:t>及以上有效机动车驾驶证</w:t>
      </w:r>
      <w:r>
        <w:rPr>
          <w:rFonts w:hint="eastAsia" w:ascii="仿宋_GB2312" w:hAnsi="仿宋_GB2312" w:eastAsia="仿宋_GB2312" w:cs="仿宋_GB2312"/>
          <w:color w:val="000000" w:themeColor="text1"/>
          <w:kern w:val="2"/>
          <w:sz w:val="28"/>
          <w:szCs w:val="28"/>
          <w:lang w:eastAsia="zh-CN"/>
          <w14:textFill>
            <w14:solidFill>
              <w14:schemeClr w14:val="tx1"/>
            </w14:solidFill>
          </w14:textFill>
        </w:rPr>
        <w:t>，无不良信用记录、无违法犯罪记录、无重大交通事故记录，征信及从业背景合规。</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（2）</w:t>
      </w:r>
      <w:r>
        <w:rPr>
          <w:rFonts w:ascii="Times New Roman" w:hAnsi="Times New Roman" w:eastAsia="仿宋_GB2312" w:cs="Times New Roman"/>
          <w:color w:val="000000" w:themeColor="text1"/>
          <w:sz w:val="28"/>
          <w:szCs w:val="28"/>
          <w:lang w:val="en-US" w:eastAsia="zh-CN"/>
          <w14:textFill>
            <w14:solidFill>
              <w14:schemeClr w14:val="tx1"/>
            </w14:solidFill>
          </w14:textFill>
        </w:rPr>
        <w:t>岗位素养要求：熟练掌握驾驶技能，可承担日常驾驶、外勤出差任务，服务态度端正、责任心强，身体健康；能够熟练操作各类常用办公软件，具备基础文书撰写、台账整理能力，可完成简单网络问题处置、视频会议连线调试等综合后勤事务；按照采购方的用车及后勤服务需求提供服务，能够适应弹性加班工作。车辆等相关费用由采购方负责</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，电脑、办公桌等办公用品由供应商负责</w:t>
      </w:r>
      <w:r>
        <w:rPr>
          <w:rFonts w:ascii="Times New Roman" w:hAnsi="Times New Roman" w:eastAsia="仿宋_GB2312" w:cs="Times New Roman"/>
          <w:color w:val="000000" w:themeColor="text1"/>
          <w:sz w:val="28"/>
          <w:szCs w:val="28"/>
          <w:lang w:val="en-US" w:eastAsia="zh-CN"/>
          <w14:textFill>
            <w14:solidFill>
              <w14:schemeClr w14:val="tx1"/>
            </w14:solidFill>
          </w14:textFill>
        </w:rPr>
        <w:t>。</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r>
        <w:rPr>
          <w:rFonts w:ascii="Times New Roman" w:hAnsi="Times New Roman" w:eastAsia="仿宋_GB2312" w:cs="Times New Roman"/>
          <w:color w:val="000000" w:themeColor="text1"/>
          <w:sz w:val="28"/>
          <w:szCs w:val="28"/>
          <w:lang w:val="en-US" w:eastAsia="zh-CN"/>
          <w14:textFill>
            <w14:solidFill>
              <w14:schemeClr w14:val="tx1"/>
            </w14:solidFill>
          </w14:textFill>
        </w:rPr>
        <w:t>服务时间：参照福建省党政机关相关规定及采购方《非编人员管理暂行规定》</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与</w:t>
      </w:r>
      <w:r>
        <w:rPr>
          <w:rFonts w:ascii="Times New Roman" w:hAnsi="Times New Roman" w:eastAsia="仿宋_GB2312" w:cs="Times New Roman"/>
          <w:color w:val="000000" w:themeColor="text1"/>
          <w:sz w:val="28"/>
          <w:szCs w:val="28"/>
          <w:lang w:val="en-US" w:eastAsia="zh-CN"/>
          <w14:textFill>
            <w14:solidFill>
              <w14:schemeClr w14:val="tx1"/>
            </w14:solidFill>
          </w14:textFill>
        </w:rPr>
        <w:t>工作安排执行，须服从工作调度，配合外勤出差、节假日值守、应急加班等工作，不得推诿拒办。</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r>
        <w:rPr>
          <w:rFonts w:ascii="Times New Roman" w:hAnsi="Times New Roman" w:eastAsia="仿宋_GB2312" w:cs="Times New Roman"/>
          <w:color w:val="000000" w:themeColor="text1"/>
          <w:sz w:val="28"/>
          <w:szCs w:val="28"/>
          <w:lang w:val="en-US" w:eastAsia="zh-CN"/>
          <w14:textFill>
            <w14:solidFill>
              <w14:schemeClr w14:val="tx1"/>
            </w14:solidFill>
          </w14:textFill>
        </w:rPr>
        <w:t>服务评价：采购方对派驻人员的服务质量进行日常、月度及年度评价，评价不合格或人员无法胜任岗位的，有权要求供应商无条件更换派驻人员；累计更换两次仍不达标，采购方可单方面终止服务合同。</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r>
        <w:rPr>
          <w:rFonts w:ascii="Times New Roman" w:hAnsi="Times New Roman" w:eastAsia="仿宋_GB2312" w:cs="Times New Roman"/>
          <w:color w:val="000000" w:themeColor="text1"/>
          <w:sz w:val="28"/>
          <w:szCs w:val="28"/>
          <w:lang w:val="en-US" w:eastAsia="zh-CN"/>
          <w14:textFill>
            <w14:solidFill>
              <w14:schemeClr w14:val="tx1"/>
            </w14:solidFill>
          </w14:textFill>
        </w:rPr>
        <w:t>薪酬费用权责：派驻人员基本工资、绩效奖金、年终奖金、福利待遇、五险一金、差旅费、加班补助等全部费用均由</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供应商</w:t>
      </w:r>
      <w:r>
        <w:rPr>
          <w:rFonts w:ascii="Times New Roman" w:hAnsi="Times New Roman" w:eastAsia="仿宋_GB2312" w:cs="Times New Roman"/>
          <w:color w:val="000000" w:themeColor="text1"/>
          <w:sz w:val="28"/>
          <w:szCs w:val="28"/>
          <w:lang w:val="en-US" w:eastAsia="zh-CN"/>
          <w14:textFill>
            <w14:solidFill>
              <w14:schemeClr w14:val="tx1"/>
            </w14:solidFill>
          </w14:textFill>
        </w:rPr>
        <w:t>全额承担、按时足额发放缴纳。采购方不另行发放任何工资、福利、补贴、差旅、加班等费用，所有人员成本均包含在投标报价内，后期不</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做</w:t>
      </w:r>
      <w:r>
        <w:rPr>
          <w:rFonts w:ascii="Times New Roman" w:hAnsi="Times New Roman" w:eastAsia="仿宋_GB2312" w:cs="Times New Roman"/>
          <w:color w:val="000000" w:themeColor="text1"/>
          <w:sz w:val="28"/>
          <w:szCs w:val="28"/>
          <w:lang w:val="en-US" w:eastAsia="zh-CN"/>
          <w14:textFill>
            <w14:solidFill>
              <w14:schemeClr w14:val="tx1"/>
            </w14:solidFill>
          </w14:textFill>
        </w:rPr>
        <w:t>任何增补。</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（6）</w:t>
      </w:r>
      <w:r>
        <w:rPr>
          <w:rFonts w:ascii="Times New Roman" w:hAnsi="Times New Roman" w:eastAsia="仿宋_GB2312" w:cs="Times New Roman"/>
          <w:color w:val="000000" w:themeColor="text1"/>
          <w:sz w:val="28"/>
          <w:szCs w:val="28"/>
          <w:lang w:val="en-US" w:eastAsia="zh-CN"/>
          <w14:textFill>
            <w14:solidFill>
              <w14:schemeClr w14:val="tx1"/>
            </w14:solidFill>
          </w14:textFill>
        </w:rPr>
        <w:t>绩效考核标准：月度绩效奖金占应发工资比例不低于百分之三十，由</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供应商</w:t>
      </w:r>
      <w:r>
        <w:rPr>
          <w:rFonts w:ascii="Times New Roman" w:hAnsi="Times New Roman" w:eastAsia="仿宋_GB2312" w:cs="Times New Roman"/>
          <w:color w:val="000000" w:themeColor="text1"/>
          <w:sz w:val="28"/>
          <w:szCs w:val="28"/>
          <w:lang w:val="en-US" w:eastAsia="zh-CN"/>
          <w14:textFill>
            <w14:solidFill>
              <w14:schemeClr w14:val="tx1"/>
            </w14:solidFill>
          </w14:textFill>
        </w:rPr>
        <w:t>结合采购方按月出具的服务质量评价意见考核核定，并按时足额发放。</w:t>
      </w:r>
    </w:p>
    <w:p>
      <w:pPr>
        <w:keepNext w:val="0"/>
        <w:keepLines w:val="0"/>
        <w:pageBreakBefore w:val="0"/>
        <w:widowControl w:val="0"/>
        <w:kinsoku/>
        <w:overflowPunct/>
        <w:autoSpaceDE/>
        <w:bidi w:val="0"/>
        <w:snapToGrid/>
        <w:spacing w:line="54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（7）</w:t>
      </w:r>
      <w:r>
        <w:rPr>
          <w:rFonts w:ascii="Times New Roman" w:hAnsi="Times New Roman" w:eastAsia="仿宋_GB2312" w:cs="Times New Roman"/>
          <w:color w:val="000000" w:themeColor="text1"/>
          <w:sz w:val="28"/>
          <w:szCs w:val="28"/>
          <w:lang w:val="en-US" w:eastAsia="zh-CN"/>
          <w14:textFill>
            <w14:solidFill>
              <w14:schemeClr w14:val="tx1"/>
            </w14:solidFill>
          </w14:textFill>
        </w:rPr>
        <w:t>本项费用测算应参照我站劳务派遣人员的薪资水平即8万元/年，原则上不允许超过该工资水平。（该数据仅作参考，不作为本项费用的最终费用）</w:t>
      </w:r>
    </w:p>
    <w:p>
      <w:pPr>
        <w:pStyle w:val="19"/>
        <w:spacing w:before="0" w:after="0" w:line="540" w:lineRule="exact"/>
        <w:ind w:right="0" w:firstLine="658"/>
        <w:jc w:val="both"/>
        <w:rPr>
          <w:rFonts w:hint="eastAsia" w:ascii="仿宋_GB2312" w:hAnsi="仿宋_GB2312" w:eastAsia="仿宋_GB2312" w:cs="仿宋_GB2312"/>
          <w:color w:val="000000" w:themeColor="text1"/>
          <w:kern w:val="2"/>
          <w:sz w:val="28"/>
          <w:szCs w:val="28"/>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2.阶段性</w:t>
      </w:r>
      <w:r>
        <w:rPr>
          <w:rFonts w:hint="eastAsia" w:ascii="仿宋_GB2312" w:hAnsi="仿宋_GB2312" w:eastAsia="仿宋_GB2312" w:cs="仿宋_GB2312"/>
          <w:color w:val="000000" w:themeColor="text1"/>
          <w:kern w:val="2"/>
          <w:sz w:val="28"/>
          <w:szCs w:val="28"/>
          <w14:textFill>
            <w14:solidFill>
              <w14:schemeClr w14:val="tx1"/>
            </w14:solidFill>
          </w14:textFill>
        </w:rPr>
        <w:t>环境监测后勤保障服务</w:t>
      </w:r>
    </w:p>
    <w:p>
      <w:pPr>
        <w:pStyle w:val="19"/>
        <w:spacing w:before="0" w:after="0" w:line="540" w:lineRule="exact"/>
        <w:ind w:right="0" w:firstLine="658"/>
        <w:jc w:val="both"/>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我方现有大气环境应急监测车辆，驾乘人员须持有B2 及以上有效机动车驾驶证。供应商须具备即时调度、安排符合上述资质条件司乘人员的能力，响应时间不超过1小时，保障应急监测出车、车辆日常维护保障工作顺利开展；供应商可委托具备相应服务能力的第三方机构提供司乘配套服务，但供应商须对第三方服务行为承担全部管理及履约责任。</w:t>
      </w:r>
    </w:p>
    <w:p>
      <w:pPr>
        <w:pStyle w:val="19"/>
        <w:spacing w:before="0" w:after="0" w:line="540" w:lineRule="exact"/>
        <w:ind w:right="0" w:firstLine="658"/>
        <w:jc w:val="both"/>
        <w:rPr>
          <w:rFonts w:hint="default" w:ascii="仿宋_GB2312" w:hAnsi="仿宋_GB2312" w:eastAsia="仿宋_GB2312" w:cs="仿宋_GB2312"/>
          <w:color w:val="000000" w:themeColor="text1"/>
          <w:kern w:val="2"/>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本项服务实行总价包干，报价须包含司乘人员人工成本、社保保险、管理费用、应急待命、差旅费、加班补助、第三方外包服务费、税费等完成本项服务所涉及的全部费用，所有费用均由供应商全额承担，合同执行期间采购人不再另行支付任何与本项司乘服务相关的其他费用。经统计，我方现有大气环境应急监测车辆（闽C 958KA）2024年度行驶里程313公里，2025年度行驶里程302公里。（</w:t>
      </w:r>
      <w:r>
        <w:rPr>
          <w:rFonts w:ascii="Times New Roman" w:hAnsi="Times New Roman" w:eastAsia="仿宋_GB2312" w:cs="Times New Roman"/>
          <w:color w:val="000000" w:themeColor="text1"/>
          <w:sz w:val="28"/>
          <w:szCs w:val="28"/>
          <w:lang w:val="en-US" w:eastAsia="zh-CN"/>
          <w14:textFill>
            <w14:solidFill>
              <w14:schemeClr w14:val="tx1"/>
            </w14:solidFill>
          </w14:textFill>
        </w:rPr>
        <w:t>该数据仅作</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报价</w:t>
      </w:r>
      <w:r>
        <w:rPr>
          <w:rFonts w:ascii="Times New Roman" w:hAnsi="Times New Roman" w:eastAsia="仿宋_GB2312" w:cs="Times New Roman"/>
          <w:color w:val="000000" w:themeColor="text1"/>
          <w:sz w:val="28"/>
          <w:szCs w:val="28"/>
          <w:lang w:val="en-US" w:eastAsia="zh-CN"/>
          <w14:textFill>
            <w14:solidFill>
              <w14:schemeClr w14:val="tx1"/>
            </w14:solidFill>
          </w14:textFill>
        </w:rPr>
        <w:t>参考</w:t>
      </w:r>
      <w:r>
        <w:rPr>
          <w:rFonts w:hint="eastAsia" w:ascii="仿宋_GB2312" w:hAnsi="仿宋_GB2312" w:eastAsia="仿宋_GB2312" w:cs="仿宋_GB2312"/>
          <w:color w:val="000000" w:themeColor="text1"/>
          <w:kern w:val="2"/>
          <w:sz w:val="28"/>
          <w:szCs w:val="28"/>
          <w:lang w:val="en-US" w:eastAsia="zh-CN"/>
          <w14:textFill>
            <w14:solidFill>
              <w14:schemeClr w14:val="tx1"/>
            </w14:solidFill>
          </w14:textFill>
        </w:rPr>
        <w:t>）</w:t>
      </w:r>
    </w:p>
    <w:p>
      <w:pPr>
        <w:pStyle w:val="19"/>
        <w:spacing w:before="0" w:after="0" w:line="560" w:lineRule="exact"/>
        <w:ind w:right="0" w:firstLine="590"/>
        <w:jc w:val="both"/>
        <w:rPr>
          <w:rFonts w:ascii="Times New Roman" w:hAnsi="Times New Roman" w:eastAsia="楷体_GB2312" w:cs="Times New Roman"/>
          <w:color w:val="000000" w:themeColor="text1"/>
          <w:kern w:val="2"/>
          <w:sz w:val="28"/>
          <w:szCs w:val="28"/>
          <w14:textFill>
            <w14:solidFill>
              <w14:schemeClr w14:val="tx1"/>
            </w14:solidFill>
          </w14:textFill>
        </w:rPr>
      </w:pPr>
      <w:r>
        <w:rPr>
          <w:rFonts w:ascii="Times New Roman" w:hAnsi="Times New Roman" w:eastAsia="楷体_GB2312" w:cs="Times New Roman"/>
          <w:color w:val="000000" w:themeColor="text1"/>
          <w:kern w:val="2"/>
          <w:sz w:val="28"/>
          <w:szCs w:val="28"/>
          <w14:textFill>
            <w14:solidFill>
              <w14:schemeClr w14:val="tx1"/>
            </w14:solidFill>
          </w14:textFill>
        </w:rPr>
        <w:t>（六）电梯日常维护</w:t>
      </w:r>
    </w:p>
    <w:p>
      <w:pPr>
        <w:keepNext w:val="0"/>
        <w:keepLines w:val="0"/>
        <w:pageBreakBefore w:val="0"/>
        <w:widowControl w:val="0"/>
        <w:kinsoku/>
        <w:overflowPunct/>
        <w:autoSpaceDE/>
        <w:bidi w:val="0"/>
        <w:snapToGrid/>
        <w:spacing w:line="560" w:lineRule="exact"/>
        <w:ind w:right="0" w:firstLine="560"/>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电梯由</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选择依法取得特种设备安装改造修理相应许可的专业维保单位负责维保，费用由</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负责。</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应认真履行电梯的日常管理职责，建立维保公司档案（资质、维保记录等）。</w:t>
      </w:r>
    </w:p>
    <w:p>
      <w:pPr>
        <w:pStyle w:val="19"/>
        <w:spacing w:before="0" w:after="0" w:line="560" w:lineRule="exact"/>
        <w:ind w:right="0" w:firstLine="590"/>
        <w:jc w:val="both"/>
        <w:rPr>
          <w:rFonts w:hint="default" w:ascii="Times New Roman" w:hAnsi="Times New Roman" w:eastAsia="楷体_GB2312" w:cs="Times New Roman"/>
          <w:color w:val="000000" w:themeColor="text1"/>
          <w:kern w:val="2"/>
          <w:sz w:val="28"/>
          <w:szCs w:val="28"/>
          <w:lang w:val="en-US" w:eastAsia="zh-CN"/>
          <w14:textFill>
            <w14:solidFill>
              <w14:schemeClr w14:val="tx1"/>
            </w14:solidFill>
          </w14:textFill>
        </w:rPr>
      </w:pPr>
      <w:r>
        <w:rPr>
          <w:rFonts w:ascii="Times New Roman" w:hAnsi="Times New Roman" w:eastAsia="楷体_GB2312" w:cs="Times New Roman"/>
          <w:color w:val="000000" w:themeColor="text1"/>
          <w:kern w:val="2"/>
          <w:sz w:val="28"/>
          <w:szCs w:val="28"/>
          <w14:textFill>
            <w14:solidFill>
              <w14:schemeClr w14:val="tx1"/>
            </w14:solidFill>
          </w14:textFill>
        </w:rPr>
        <w:t>（七）日常</w:t>
      </w:r>
      <w:r>
        <w:rPr>
          <w:rFonts w:hint="eastAsia" w:ascii="Times New Roman" w:hAnsi="Times New Roman" w:eastAsia="楷体_GB2312" w:cs="Times New Roman"/>
          <w:color w:val="000000" w:themeColor="text1"/>
          <w:kern w:val="2"/>
          <w:sz w:val="28"/>
          <w:szCs w:val="28"/>
          <w:lang w:val="en-US" w:eastAsia="zh-CN"/>
          <w14:textFill>
            <w14:solidFill>
              <w14:schemeClr w14:val="tx1"/>
            </w14:solidFill>
          </w14:textFill>
        </w:rPr>
        <w:t>维护/服务</w:t>
      </w:r>
    </w:p>
    <w:p>
      <w:pPr>
        <w:keepNext w:val="0"/>
        <w:keepLines w:val="0"/>
        <w:pageBreakBefore w:val="0"/>
        <w:widowControl w:val="0"/>
        <w:kinsoku/>
        <w:overflowPunct/>
        <w:autoSpaceDE/>
        <w:bidi w:val="0"/>
        <w:snapToGrid/>
        <w:spacing w:line="56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以下</w:t>
      </w:r>
      <w:r>
        <w:rPr>
          <w:rFonts w:ascii="Times New Roman" w:hAnsi="Times New Roman" w:eastAsia="仿宋_GB2312" w:cs="Times New Roman"/>
          <w:color w:val="000000" w:themeColor="text1"/>
          <w:sz w:val="28"/>
          <w:szCs w:val="28"/>
          <w:lang w:val="en-US" w:eastAsia="zh-CN"/>
          <w14:textFill>
            <w14:solidFill>
              <w14:schemeClr w14:val="tx1"/>
            </w14:solidFill>
          </w14:textFill>
        </w:rPr>
        <w:t>服务费实行总价包干</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w:t>
      </w:r>
      <w:r>
        <w:rPr>
          <w:rFonts w:ascii="Times New Roman" w:hAnsi="Times New Roman" w:eastAsia="仿宋_GB2312" w:cs="Times New Roman"/>
          <w:color w:val="000000" w:themeColor="text1"/>
          <w:sz w:val="28"/>
          <w:szCs w:val="28"/>
          <w:lang w:val="en-US" w:eastAsia="zh-CN"/>
          <w14:textFill>
            <w14:solidFill>
              <w14:schemeClr w14:val="tx1"/>
            </w14:solidFill>
          </w14:textFill>
        </w:rPr>
        <w:t>包干范围包含</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乔木修剪、防雷检测（7200元/年）、电梯检定费（1台）、清洗空调（110台，每年清洗一次）、设备搬运（含日常办公用品搬运、会场布置、仪器搬运等内容）、危险废物搬运（1到2次）</w:t>
      </w:r>
      <w:r>
        <w:rPr>
          <w:rFonts w:ascii="Times New Roman" w:hAnsi="Times New Roman" w:eastAsia="仿宋_GB2312" w:cs="Times New Roman"/>
          <w:color w:val="000000" w:themeColor="text1"/>
          <w:sz w:val="28"/>
          <w:szCs w:val="28"/>
          <w:lang w:val="en-US" w:eastAsia="zh-CN"/>
          <w14:textFill>
            <w14:solidFill>
              <w14:schemeClr w14:val="tx1"/>
            </w14:solidFill>
          </w14:textFill>
        </w:rPr>
        <w:t>等全部相关人工、材料、配件、机具、安全措施等一切费用。</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水电维修、门锁维修的维修材料由采购方负责，相关</w:t>
      </w:r>
      <w:r>
        <w:rPr>
          <w:rFonts w:ascii="Times New Roman" w:hAnsi="Times New Roman" w:eastAsia="仿宋_GB2312" w:cs="Times New Roman"/>
          <w:color w:val="000000" w:themeColor="text1"/>
          <w:sz w:val="28"/>
          <w:szCs w:val="28"/>
          <w:lang w:val="en-US" w:eastAsia="zh-CN"/>
          <w14:textFill>
            <w14:solidFill>
              <w14:schemeClr w14:val="tx1"/>
            </w14:solidFill>
          </w14:textFill>
        </w:rPr>
        <w:t>人工、机具、安全措施等</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相关</w:t>
      </w:r>
      <w:r>
        <w:rPr>
          <w:rFonts w:ascii="Times New Roman" w:hAnsi="Times New Roman" w:eastAsia="仿宋_GB2312" w:cs="Times New Roman"/>
          <w:color w:val="000000" w:themeColor="text1"/>
          <w:sz w:val="28"/>
          <w:szCs w:val="28"/>
          <w:lang w:val="en-US" w:eastAsia="zh-CN"/>
          <w14:textFill>
            <w14:solidFill>
              <w14:schemeClr w14:val="tx1"/>
            </w14:solidFill>
          </w14:textFill>
        </w:rPr>
        <w:t>费用</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由</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供应商</w:t>
      </w:r>
      <w:r>
        <w:rPr>
          <w:rFonts w:ascii="Times New Roman" w:hAnsi="Times New Roman" w:eastAsia="仿宋_GB2312" w:cs="Times New Roman"/>
          <w:color w:val="000000" w:themeColor="text1"/>
          <w:sz w:val="28"/>
          <w:szCs w:val="28"/>
          <w14:textFill>
            <w14:solidFill>
              <w14:schemeClr w14:val="tx1"/>
            </w14:solidFill>
          </w14:textFill>
        </w:rPr>
        <w:t>负责</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w:t>
      </w:r>
      <w:r>
        <w:rPr>
          <w:rFonts w:ascii="Times New Roman" w:hAnsi="Times New Roman" w:eastAsia="仿宋_GB2312" w:cs="Times New Roman"/>
          <w:color w:val="000000" w:themeColor="text1"/>
          <w:sz w:val="28"/>
          <w:szCs w:val="28"/>
          <w:lang w:val="en-US" w:eastAsia="zh-CN"/>
          <w14:textFill>
            <w14:solidFill>
              <w14:schemeClr w14:val="tx1"/>
            </w14:solidFill>
          </w14:textFill>
        </w:rPr>
        <w:t>供应商提交的</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报价</w:t>
      </w:r>
      <w:r>
        <w:rPr>
          <w:rFonts w:ascii="Times New Roman" w:hAnsi="Times New Roman" w:eastAsia="仿宋_GB2312" w:cs="Times New Roman"/>
          <w:color w:val="000000" w:themeColor="text1"/>
          <w:sz w:val="28"/>
          <w:szCs w:val="28"/>
          <w:lang w:val="en-US" w:eastAsia="zh-CN"/>
          <w14:textFill>
            <w14:solidFill>
              <w14:schemeClr w14:val="tx1"/>
            </w14:solidFill>
          </w14:textFill>
        </w:rPr>
        <w:t>应当包含完成上述服务</w:t>
      </w: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的</w:t>
      </w:r>
      <w:r>
        <w:rPr>
          <w:rFonts w:ascii="Times New Roman" w:hAnsi="Times New Roman" w:eastAsia="仿宋_GB2312" w:cs="Times New Roman"/>
          <w:color w:val="000000" w:themeColor="text1"/>
          <w:sz w:val="28"/>
          <w:szCs w:val="28"/>
          <w:lang w:val="en-US" w:eastAsia="zh-CN"/>
          <w14:textFill>
            <w14:solidFill>
              <w14:schemeClr w14:val="tx1"/>
            </w14:solidFill>
          </w14:textFill>
        </w:rPr>
        <w:t>全部成本，除合同另有明确书面约定外，采购方无需另行支付任何其他费用。</w:t>
      </w:r>
    </w:p>
    <w:p>
      <w:pPr>
        <w:keepNext w:val="0"/>
        <w:keepLines w:val="0"/>
        <w:pageBreakBefore w:val="0"/>
        <w:widowControl w:val="0"/>
        <w:kinsoku/>
        <w:overflowPunct/>
        <w:autoSpaceDE/>
        <w:bidi w:val="0"/>
        <w:snapToGrid/>
        <w:spacing w:line="56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服务包干价不因维修频次、维修工程量增减而调整；属于包干范围内的工作，无论实际发生工作量多少，均不再另行计价。超出本项服务约定包干服务范围的新增工作事项，由供应商与采购方另行协商确定，未经采购方书面确认的新增工作，采购方不予承担任何费用。</w:t>
      </w:r>
    </w:p>
    <w:p>
      <w:pPr>
        <w:keepNext w:val="0"/>
        <w:keepLines w:val="0"/>
        <w:pageBreakBefore w:val="0"/>
        <w:widowControl w:val="0"/>
        <w:kinsoku/>
        <w:overflowPunct/>
        <w:autoSpaceDE/>
        <w:bidi w:val="0"/>
        <w:snapToGrid/>
        <w:spacing w:line="56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所有维修项目，由供应商负责提交报价单、结算单及配件明细清单；维修项目施工前须经采购方书面确认同意后方可实施，施工完成后须经采购方验收合格。</w:t>
      </w:r>
    </w:p>
    <w:p>
      <w:pPr>
        <w:pStyle w:val="19"/>
        <w:spacing w:before="0" w:after="0" w:line="560" w:lineRule="exact"/>
        <w:ind w:right="0" w:firstLine="590"/>
        <w:jc w:val="both"/>
        <w:rPr>
          <w:rFonts w:ascii="Times New Roman" w:hAnsi="Times New Roman" w:eastAsia="楷体_GB2312" w:cs="Times New Roman"/>
          <w:color w:val="000000" w:themeColor="text1"/>
          <w:kern w:val="2"/>
          <w:sz w:val="28"/>
          <w:szCs w:val="28"/>
          <w:lang w:val="en-US" w:eastAsia="zh-CN"/>
          <w14:textFill>
            <w14:solidFill>
              <w14:schemeClr w14:val="tx1"/>
            </w14:solidFill>
          </w14:textFill>
        </w:rPr>
      </w:pPr>
      <w:r>
        <w:rPr>
          <w:rFonts w:hint="eastAsia" w:ascii="Times New Roman" w:hAnsi="Times New Roman" w:eastAsia="楷体_GB2312" w:cs="Times New Roman"/>
          <w:color w:val="000000" w:themeColor="text1"/>
          <w:kern w:val="2"/>
          <w:sz w:val="28"/>
          <w:szCs w:val="28"/>
          <w:lang w:val="en-US" w:eastAsia="zh-CN"/>
          <w14:textFill>
            <w14:solidFill>
              <w14:schemeClr w14:val="tx1"/>
            </w14:solidFill>
          </w14:textFill>
        </w:rPr>
        <w:t>（八）</w:t>
      </w:r>
      <w:r>
        <w:rPr>
          <w:rFonts w:ascii="Times New Roman" w:hAnsi="Times New Roman" w:eastAsia="楷体_GB2312" w:cs="Times New Roman"/>
          <w:color w:val="000000" w:themeColor="text1"/>
          <w:kern w:val="2"/>
          <w:sz w:val="28"/>
          <w:szCs w:val="28"/>
          <w:lang w:val="en-US" w:eastAsia="zh-CN"/>
          <w14:textFill>
            <w14:solidFill>
              <w14:schemeClr w14:val="tx1"/>
            </w14:solidFill>
          </w14:textFill>
        </w:rPr>
        <w:t>禁止转包与违规分包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供应商不得将本项目整体转包或将主体服务内容违规分包给第三方；法律法规要求由具备专门资质的单位实施的消防检查、电梯维保等专项服务除外。一经发现整体转包或违规分包的，采购方有权单方终止合同并追究违约责任。</w:t>
      </w:r>
    </w:p>
    <w:p>
      <w:pPr>
        <w:spacing w:line="560" w:lineRule="exact"/>
        <w:ind w:right="0" w:firstLine="560"/>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四、项目经费安排</w:t>
      </w:r>
    </w:p>
    <w:p>
      <w:pPr>
        <w:pStyle w:val="19"/>
        <w:keepNext w:val="0"/>
        <w:keepLines w:val="0"/>
        <w:pageBreakBefore w:val="0"/>
        <w:widowControl w:val="0"/>
        <w:kinsoku/>
        <w:overflowPunct/>
        <w:autoSpaceDE/>
        <w:bidi w:val="0"/>
        <w:snapToGrid/>
        <w:spacing w:before="0" w:after="0" w:line="560" w:lineRule="exact"/>
        <w:ind w:right="0" w:firstLine="590"/>
        <w:jc w:val="both"/>
        <w:textAlignment w:val="auto"/>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本项目拟采取挂网询价方式开展</w:t>
      </w:r>
      <w:r>
        <w:rPr>
          <w:rFonts w:ascii="Times New Roman" w:hAnsi="Times New Roman" w:eastAsia="楷体_GB2312" w:cs="Times New Roman"/>
          <w:color w:val="000000" w:themeColor="text1"/>
          <w:kern w:val="2"/>
          <w:sz w:val="28"/>
          <w:szCs w:val="28"/>
          <w:lang w:val="en-US" w:eastAsia="zh-CN"/>
          <w14:textFill>
            <w14:solidFill>
              <w14:schemeClr w14:val="tx1"/>
            </w14:solidFill>
          </w14:textFill>
        </w:rPr>
        <w:t>监测</w:t>
      </w:r>
      <w:r>
        <w:rPr>
          <w:rFonts w:ascii="Times New Roman" w:hAnsi="Times New Roman" w:eastAsia="仿宋_GB2312" w:cs="Times New Roman"/>
          <w:color w:val="000000" w:themeColor="text1"/>
          <w:sz w:val="28"/>
          <w:szCs w:val="28"/>
          <w:lang w:val="en-US" w:eastAsia="zh-CN"/>
          <w14:textFill>
            <w14:solidFill>
              <w14:schemeClr w14:val="tx1"/>
            </w14:solidFill>
          </w14:textFill>
        </w:rPr>
        <w:t>大楼物业管理服务</w:t>
      </w:r>
      <w:r>
        <w:rPr>
          <w:rFonts w:ascii="Times New Roman" w:hAnsi="Times New Roman" w:eastAsia="仿宋_GB2312" w:cs="Times New Roman"/>
          <w:color w:val="000000" w:themeColor="text1"/>
          <w:sz w:val="28"/>
          <w:szCs w:val="28"/>
          <w14:textFill>
            <w14:solidFill>
              <w14:schemeClr w14:val="tx1"/>
            </w14:solidFill>
          </w14:textFill>
        </w:rPr>
        <w:t>价格调研，充分征集潜在服务商报价信息，科学核定本项目初步预算，保障预算编制贴合市场行情，为后续采购实施提供可靠依据。</w:t>
      </w:r>
    </w:p>
    <w:p>
      <w:pPr>
        <w:keepNext w:val="0"/>
        <w:keepLines w:val="0"/>
        <w:pageBreakBefore w:val="0"/>
        <w:widowControl w:val="0"/>
        <w:kinsoku/>
        <w:overflowPunct/>
        <w:autoSpaceDE/>
        <w:bidi w:val="0"/>
        <w:snapToGrid/>
        <w:spacing w:line="560" w:lineRule="exact"/>
        <w:ind w:right="0" w:firstLine="560"/>
        <w:textAlignment w:val="auto"/>
        <w:rPr>
          <w:rFonts w:ascii="Times New Roman" w:hAnsi="Times New Roman" w:eastAsia="仿宋_GB2312" w:cs="Times New Roman"/>
          <w:color w:val="000000" w:themeColor="text1"/>
          <w:sz w:val="28"/>
          <w:szCs w:val="28"/>
          <w:lang w:eastAsia="zh-CN"/>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根据《福建省生态环境厅关于批复所属单位2026年度预算的通知》（闽环保科财〔2026〕4号），2027年度物业管理服务费已列入我站2026年度环境监测与信息业务费，初步预算金额为市场调研合格供应商的均价，后续将委托会计师事务所进行预算评审。</w:t>
      </w:r>
    </w:p>
    <w:p>
      <w:pPr>
        <w:spacing w:line="560" w:lineRule="exact"/>
        <w:ind w:right="0" w:firstLine="560"/>
        <w:rPr>
          <w:rFonts w:ascii="Times New Roman" w:hAnsi="Times New Roman" w:eastAsia="黑体" w:cs="Times New Roman"/>
          <w:color w:val="000000" w:themeColor="text1"/>
          <w:sz w:val="28"/>
          <w:szCs w:val="28"/>
          <w:lang w:eastAsia="zh-CN"/>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五、</w:t>
      </w:r>
      <w:r>
        <w:rPr>
          <w:rFonts w:ascii="Times New Roman" w:hAnsi="Times New Roman" w:eastAsia="黑体" w:cs="Times New Roman"/>
          <w:color w:val="000000" w:themeColor="text1"/>
          <w:sz w:val="28"/>
          <w:szCs w:val="28"/>
          <w:lang w:val="en-US" w:eastAsia="zh-CN"/>
          <w14:textFill>
            <w14:solidFill>
              <w14:schemeClr w14:val="tx1"/>
            </w14:solidFill>
          </w14:textFill>
        </w:rPr>
        <w:t>报价及</w:t>
      </w:r>
      <w:r>
        <w:rPr>
          <w:rFonts w:ascii="Times New Roman" w:hAnsi="Times New Roman" w:eastAsia="黑体" w:cs="Times New Roman"/>
          <w:color w:val="000000" w:themeColor="text1"/>
          <w:sz w:val="28"/>
          <w:szCs w:val="28"/>
          <w:lang w:eastAsia="zh-CN"/>
          <w14:textFill>
            <w14:solidFill>
              <w14:schemeClr w14:val="tx1"/>
            </w14:solidFill>
          </w14:textFill>
        </w:rPr>
        <w:t>采购方式</w:t>
      </w:r>
    </w:p>
    <w:p>
      <w:pPr>
        <w:keepNext w:val="0"/>
        <w:keepLines w:val="0"/>
        <w:pageBreakBefore w:val="0"/>
        <w:widowControl w:val="0"/>
        <w:kinsoku/>
        <w:overflowPunct/>
        <w:autoSpaceDE/>
        <w:bidi w:val="0"/>
        <w:snapToGrid/>
        <w:spacing w:line="560" w:lineRule="exact"/>
        <w:ind w:right="0" w:firstLine="560"/>
        <w:textAlignment w:val="auto"/>
        <w:rPr>
          <w:rFonts w:ascii="Times New Roman" w:hAnsi="Times New Roman" w:eastAsia="仿宋_GB2312" w:cs="Times New Roman"/>
          <w:color w:val="000000" w:themeColor="text1"/>
          <w:sz w:val="28"/>
          <w:szCs w:val="28"/>
          <w:lang w:val="en-US" w:eastAsia="zh-CN"/>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（一）报价方式。本次服务期限为一年，即2027年1月1日至12月31日。</w:t>
      </w:r>
    </w:p>
    <w:p>
      <w:pPr>
        <w:spacing w:line="560" w:lineRule="exact"/>
        <w:ind w:right="0" w:firstLine="560"/>
        <w:rPr>
          <w:rFonts w:ascii="Times New Roman" w:hAnsi="Times New Roman" w:eastAsia="仿宋_GB2312" w:cs="Times New Roman"/>
          <w:color w:val="000000" w:themeColor="text1"/>
          <w:sz w:val="28"/>
          <w:szCs w:val="28"/>
          <w:lang w:eastAsia="zh-CN"/>
          <w14:textFill>
            <w14:solidFill>
              <w14:schemeClr w14:val="tx1"/>
            </w14:solidFill>
          </w14:textFill>
        </w:rPr>
      </w:pPr>
      <w:r>
        <w:rPr>
          <w:rFonts w:ascii="Times New Roman" w:hAnsi="Times New Roman" w:eastAsia="仿宋_GB2312" w:cs="Times New Roman"/>
          <w:color w:val="000000" w:themeColor="text1"/>
          <w:sz w:val="28"/>
          <w:szCs w:val="28"/>
          <w:lang w:val="en-US" w:eastAsia="zh-CN"/>
          <w14:textFill>
            <w14:solidFill>
              <w14:schemeClr w14:val="tx1"/>
            </w14:solidFill>
          </w14:textFill>
        </w:rPr>
        <w:t>（二）采购方式。</w:t>
      </w:r>
      <w:r>
        <w:rPr>
          <w:rFonts w:ascii="Times New Roman" w:hAnsi="Times New Roman" w:eastAsia="仿宋_GB2312" w:cs="Times New Roman"/>
          <w:color w:val="000000" w:themeColor="text1"/>
          <w:sz w:val="28"/>
          <w:szCs w:val="28"/>
          <w:lang w:eastAsia="zh-CN"/>
          <w14:textFill>
            <w14:solidFill>
              <w14:schemeClr w14:val="tx1"/>
            </w14:solidFill>
          </w14:textFill>
        </w:rPr>
        <w:t>本项目</w:t>
      </w:r>
      <w:r>
        <w:rPr>
          <w:rFonts w:ascii="Times New Roman" w:hAnsi="Times New Roman" w:eastAsia="仿宋_GB2312" w:cs="Times New Roman"/>
          <w:color w:val="000000" w:themeColor="text1"/>
          <w:sz w:val="28"/>
          <w:szCs w:val="28"/>
          <w:lang w:val="en-US" w:eastAsia="zh-CN"/>
          <w14:textFill>
            <w14:solidFill>
              <w14:schemeClr w14:val="tx1"/>
            </w14:solidFill>
          </w14:textFill>
        </w:rPr>
        <w:t>计划通过</w:t>
      </w:r>
      <w:r>
        <w:rPr>
          <w:rFonts w:ascii="Times New Roman" w:hAnsi="Times New Roman" w:eastAsia="仿宋_GB2312" w:cs="Times New Roman"/>
          <w:color w:val="000000" w:themeColor="text1"/>
          <w:sz w:val="28"/>
          <w:szCs w:val="28"/>
          <w:lang w:eastAsia="zh-CN"/>
          <w14:textFill>
            <w14:solidFill>
              <w14:schemeClr w14:val="tx1"/>
            </w14:solidFill>
          </w14:textFill>
        </w:rPr>
        <w:t>竞争性磋商（评审方法为综合评分法）确定供应商，实行1+1+1逐年续签模式，</w:t>
      </w:r>
      <w:r>
        <w:rPr>
          <w:rFonts w:ascii="Times New Roman" w:hAnsi="Times New Roman" w:eastAsia="仿宋_GB2312" w:cs="Times New Roman"/>
          <w:color w:val="000000" w:themeColor="text1"/>
          <w:sz w:val="28"/>
          <w:szCs w:val="28"/>
          <w:lang w:val="en-US" w:eastAsia="zh-CN"/>
          <w14:textFill>
            <w14:solidFill>
              <w14:schemeClr w14:val="tx1"/>
            </w14:solidFill>
          </w14:textFill>
        </w:rPr>
        <w:t>即首年</w:t>
      </w:r>
      <w:r>
        <w:rPr>
          <w:rFonts w:ascii="Times New Roman" w:hAnsi="Times New Roman" w:eastAsia="仿宋_GB2312" w:cs="Times New Roman"/>
          <w:color w:val="000000" w:themeColor="text1"/>
          <w:sz w:val="28"/>
          <w:szCs w:val="28"/>
          <w:lang w:eastAsia="zh-CN"/>
          <w14:textFill>
            <w14:solidFill>
              <w14:schemeClr w14:val="tx1"/>
            </w14:solidFill>
          </w14:textFill>
        </w:rPr>
        <w:t>服务期满前30日，采购人将</w:t>
      </w:r>
      <w:r>
        <w:rPr>
          <w:rFonts w:ascii="Times New Roman" w:hAnsi="Times New Roman" w:eastAsia="仿宋_GB2312" w:cs="Times New Roman"/>
          <w:color w:val="000000" w:themeColor="text1"/>
          <w:sz w:val="28"/>
          <w:szCs w:val="28"/>
          <w:lang w:val="en-US" w:eastAsia="zh-CN"/>
          <w14:textFill>
            <w14:solidFill>
              <w14:schemeClr w14:val="tx1"/>
            </w14:solidFill>
          </w14:textFill>
        </w:rPr>
        <w:t>对供应商上一年度服务情况进行</w:t>
      </w:r>
      <w:r>
        <w:rPr>
          <w:rFonts w:ascii="Times New Roman" w:hAnsi="Times New Roman" w:eastAsia="仿宋_GB2312" w:cs="Times New Roman"/>
          <w:color w:val="000000" w:themeColor="text1"/>
          <w:sz w:val="28"/>
          <w:szCs w:val="28"/>
          <w:lang w:eastAsia="zh-CN"/>
          <w14:textFill>
            <w14:solidFill>
              <w14:schemeClr w14:val="tx1"/>
            </w14:solidFill>
          </w14:textFill>
        </w:rPr>
        <w:t>考核，考核结果合格，且下一年度财政预算落实到位，双方可协商续签第二年服务合同，总服务期限不超过3年；若</w:t>
      </w:r>
      <w:r>
        <w:rPr>
          <w:rFonts w:ascii="Times New Roman" w:hAnsi="Times New Roman" w:eastAsia="仿宋_GB2312" w:cs="Times New Roman"/>
          <w:color w:val="000000" w:themeColor="text1"/>
          <w:sz w:val="28"/>
          <w:szCs w:val="28"/>
          <w:lang w:val="en-US" w:eastAsia="zh-CN"/>
          <w14:textFill>
            <w14:solidFill>
              <w14:schemeClr w14:val="tx1"/>
            </w14:solidFill>
          </w14:textFill>
        </w:rPr>
        <w:t>上一年度</w:t>
      </w:r>
      <w:r>
        <w:rPr>
          <w:rFonts w:ascii="Times New Roman" w:hAnsi="Times New Roman" w:eastAsia="仿宋_GB2312" w:cs="Times New Roman"/>
          <w:color w:val="000000" w:themeColor="text1"/>
          <w:sz w:val="28"/>
          <w:szCs w:val="28"/>
          <w:lang w:eastAsia="zh-CN"/>
          <w14:textFill>
            <w14:solidFill>
              <w14:schemeClr w14:val="tx1"/>
            </w14:solidFill>
          </w14:textFill>
        </w:rPr>
        <w:t>服务考核不合格，采购人有权不予续签，当期合同期满后自动终止，采购人将重新组织采购，供应商不得提出异议或主张任何补偿。</w:t>
      </w:r>
    </w:p>
    <w:p>
      <w:pPr>
        <w:spacing w:line="560" w:lineRule="exact"/>
        <w:ind w:right="0" w:firstLine="560"/>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附件：</w:t>
      </w:r>
      <w:r>
        <w:rPr>
          <w:rFonts w:hint="eastAsia" w:ascii="Times New Roman" w:hAnsi="Times New Roman" w:eastAsia="仿宋_GB2312" w:cs="Times New Roman"/>
          <w:color w:val="000000" w:themeColor="text1"/>
          <w:sz w:val="28"/>
          <w:szCs w:val="28"/>
          <w:lang w:eastAsia="zh-CN"/>
          <w14:textFill>
            <w14:solidFill>
              <w14:schemeClr w14:val="tx1"/>
            </w14:solidFill>
          </w14:textFill>
        </w:rPr>
        <w:t>福建省泉州环境监测中心站监测大楼物业管理服务考核表</w:t>
      </w:r>
    </w:p>
    <w:p>
      <w:pPr>
        <w:spacing w:line="240" w:lineRule="auto"/>
        <w:ind w:right="0" w:firstLine="0"/>
        <w:rPr>
          <w:color w:val="000000" w:themeColor="text1"/>
          <w14:textFill>
            <w14:solidFill>
              <w14:schemeClr w14:val="tx1"/>
            </w14:solidFill>
          </w14:textFill>
        </w:rPr>
      </w:pPr>
      <w:r>
        <w:rPr>
          <w:color w:val="000000" w:themeColor="text1"/>
          <w14:textFill>
            <w14:solidFill>
              <w14:schemeClr w14:val="tx1"/>
            </w14:solidFill>
          </w14:textFill>
        </w:rPr>
        <w:br w:type="page"/>
      </w:r>
    </w:p>
    <w:p>
      <w:pPr>
        <w:spacing w:line="560" w:lineRule="exact"/>
        <w:ind w:right="0" w:firstLine="560"/>
        <w:rPr>
          <w:color w:val="000000" w:themeColor="text1"/>
          <w14:textFill>
            <w14:solidFill>
              <w14:schemeClr w14:val="tx1"/>
            </w14:solidFill>
          </w14:textFill>
        </w:rPr>
        <w:sectPr>
          <w:headerReference r:id="rId3" w:type="default"/>
          <w:footerReference r:id="rId4" w:type="default"/>
          <w:pgSz w:w="11906" w:h="16838" w:orient="landscape"/>
          <w:pgMar w:top="1440" w:right="1531" w:bottom="1440" w:left="1531" w:header="851" w:footer="992" w:gutter="0"/>
          <w:pgNumType w:fmt="decimal"/>
          <w:cols w:space="720" w:num="1"/>
          <w:formProt w:val="0"/>
          <w:docGrid w:type="linesAndChars" w:linePitch="312" w:charSpace="0"/>
        </w:sectPr>
      </w:pPr>
    </w:p>
    <w:p>
      <w:pPr>
        <w:spacing w:line="560" w:lineRule="exact"/>
        <w:ind w:right="0" w:firstLine="0"/>
        <w:jc w:val="both"/>
        <w:rPr>
          <w:rFonts w:hint="default"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28"/>
          <w:szCs w:val="28"/>
          <w:u w:val="none"/>
          <w:lang w:val="en-US" w:eastAsia="zh-CN" w:bidi="ar"/>
          <w14:textFill>
            <w14:solidFill>
              <w14:schemeClr w14:val="tx1"/>
            </w14:solidFill>
          </w14:textFill>
        </w:rPr>
        <w:t>附件</w:t>
      </w:r>
    </w:p>
    <w:p>
      <w:pPr>
        <w:spacing w:line="600" w:lineRule="exact"/>
        <w:ind w:right="0" w:firstLine="0"/>
        <w:jc w:val="center"/>
        <w:rPr>
          <w:rFonts w:hint="eastAsia" w:ascii="宋体" w:hAnsi="宋体" w:eastAsia="宋体" w:cs="宋体"/>
          <w:b/>
          <w:bCs/>
          <w:i w:val="0"/>
          <w:iCs w:val="0"/>
          <w:color w:val="000000" w:themeColor="text1"/>
          <w:kern w:val="0"/>
          <w:sz w:val="40"/>
          <w:szCs w:val="4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40"/>
          <w:szCs w:val="40"/>
          <w:u w:val="none"/>
          <w:lang w:val="en-US" w:eastAsia="zh-CN" w:bidi="ar"/>
          <w14:textFill>
            <w14:solidFill>
              <w14:schemeClr w14:val="tx1"/>
            </w14:solidFill>
          </w14:textFill>
        </w:rPr>
        <w:t>福建省泉州环境监测中心站监测大楼物业管理服务考核表</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6"/>
        <w:gridCol w:w="1108"/>
        <w:gridCol w:w="3033"/>
        <w:gridCol w:w="1148"/>
        <w:gridCol w:w="1137"/>
        <w:gridCol w:w="5891"/>
        <w:gridCol w:w="13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blHeader/>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序号</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考核模块</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考核事项</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评价等级</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分值</w:t>
            </w: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评分标准</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3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项目主管服务（10分）</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沟通协调与应急处置（5分）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好：与采购方沟通协调及时高效，突发事件100%妥善处置，无推诿；合格：沟通协调基本及时，突发事件基本妥善处置，无重大疏漏；差：沟通协调不及时，突发事件处置不当，造成不良影响</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人员管理（调配、岗前培训、岗位责任）（5分）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人员调配合理，岗前培训全覆盖，岗位责任100%落实，无脱岗失职；合格：人员调配基本合理，岗前培训基本完成，岗位责任基本落实，无重大失职；差：人员调配混乱，无岗前培训，岗位责任落实不到位，出现脱岗失职</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3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安全保卫服务（40分）</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值班值守与交接班（10分）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严格执行24小时值班站岗，夜间每2小时巡视1次，交接班记录100%完整规范，无缺岗漏巡；合格：基本执行值班巡视要求，交接班记录基本完整，无重大缺岗漏巡；差：值班脱岗、巡视未按要求执行、交接班记录缺失，存在安全隐患</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进出管控与登记（5分）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好：外来人员/车辆100%登记，严格管控进出，无违规进入；合格：外来人员/车辆登记率≥95%，无无关人员/车辆随意进入；差：未按要求登记，无关人员/车辆随意进出，造成安全隐患</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安全检查与消防管理（15分）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安全检查100%覆盖，消防设施检查、消防培训演练（含消防应急能力培训）100%落实，监控记录完整，问题100%及时上报；合格：安全检查基本覆盖，消防检查与培训演练基本完成，监控记录完整，问题基本及时上报；差：未按要求开展安全检查、消防检查与培训演练，监控记录缺失，问题未及时上报</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应急响应与纪律遵守（5分）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警情1分钟内到达现场配合处置，严格遵守规章制度，工作期间无违规，服从管理；合格：警情3分钟内到达现场，基本遵守规章制度，无重大违规；差：未及时到达现场或处置配合不力，频繁违规、不服从管理，造成不良影响</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责任区管理与邮件收发（5分）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好：值班室及公共区域环境持续整洁，报刊邮件快递收发100%准确及时，无丢失错发；合格：责任区域环境基本整洁，收发工作基本准确，无重大错发丢失；差：责任区域环境脏乱，收发频繁出错、出现丢失错发</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3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保洁服务（8分）</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公共区域日常保洁（2分）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办公区、公共区地面/楼梯/电梯每日拖洗≥2次并巡回保洁，会议室等按需及时清洗，无积灰、污迹、垃圾、积水；合格：每日拖洗≥1次，会议室清洗基本完成，无明显积灰、污迹、垃圾；差：未按要求保洁，存在大量积灰、污迹、垃圾、积水</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卫生间保洁与物资保障（2分）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好：每日拖洗≥2次，无杂物、积水、异味，设施完好，洗手液/卫生纸及时补充；合格：每日清洁≥1次，基本无异味、无积水，物资补充及时；差：未按要求清洁，卫生间脏乱、异味严重，物资补充不及时</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高低位清洁与绿化养护（2分）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好：2米以下每周擦抹、2米以上每月清洁，绿化每季度养护≥2次，无灰尘污迹、杂草枯枝；合格：基本按要求完成清洁与养护，无明显灰尘污迹、杂草枯枝；差：未按要求清洁养护，灰尘污迹、杂草枯枝严重</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垃圾分类清运与四害消杀（2分）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严格分类，垃圾100%日产日清，垃圾桶每日清刷，每年开展1-2次四害消杀，无蚊蝇滋生地、鼠迹；合格：基本完成分类与日产日清，完成年度消杀，无重大脏乱、异味；差：未按要求分类清运、开展消杀，垃圾桶脏乱、蚊蝇鼠迹严重</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3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设施设备维修保养服务（24分）</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水电管道维护（4分）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雨污水管道、房顶每年疏通≥1次，化粪池按需清掏，水管水龙头无滴漏、故障24小时内修复，排水持续通畅；合格：按要求完成疏通清掏，无堵塞满溢，基本无滴漏，故障48小时内修复；差：未按要求疏通清掏，管道堵塞、房顶渗漏、化粪池满溢，滴漏修复不及时</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电气设施维护（4分）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配电房/配电箱年度保养到位，公共照明灯具开关完好率100%，用电安全月度检查全覆盖，隐患100%整改并登记台账；合格：完成年度保养，完好率≥95%，基本完成月度检查，隐患基本整改；差：未按要求保养检查，存在积尘、松动等安全隐患，台账缺失</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电梯维保与故障处置（4分）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维保单位资质合规、档案100%完整规范，维保记录100%完整，故障30分钟内响应、24小时内修复，无困人等安全事故；合格：维保单位资质合规，记录基本完整，故障1小时内响应、48小时内修复，无安全事故；差：维保资质不合规、记录缺失，故障响应不及时或修复超时，出现安全事故</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维修响应与质量（4分）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维修24小时内响应到场，约定时间内100%完成，验收合格率100%，无返工、无重复故障；合格：48小时内响应，基本按约定完成，验收合格率≥95%，无重大返工；差：响应不及时，未按约定完成，验收合格率&lt;90%，频繁返工</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维修资料与施工规范（4分）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报价单、结算单、配件明细100%规范完整，维修项目施工前全部取得书面确认，无擅自施工；合格：提交资料基本规范，基本按要求取得书面确认，无擅自施工；差：资料严重不规范或错漏多，未取得书面确认擅自施工</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零星修缮工程（4分）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好：按要求完成物业主体建筑零星修缮，质量达标，无安全隐患；合格：基本完成修缮，无重大质量问题；差：未按要求完成修缮，质量不达标，存在安全隐患</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w:t>
            </w:r>
          </w:p>
        </w:tc>
        <w:tc>
          <w:tcPr>
            <w:tcW w:w="3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环境监测后勤保障服务（18分）</w:t>
            </w: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人员资质与素养（4分）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好：派驻人员完全符合资质要求，岗位素养优秀，无违规记录；合格：派驻人员基本符合资质要求，能够胜任岗位；差：派驻人员不符合资质要求，无法胜任岗位</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调度服从与服务评价（6分）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完全服从调度，外勤、节假日值守、应急加班100%配合，日常评价优秀无投诉，人员更换无条件配合；合格：基本服从调度，无重大推诿，评价合格无重大投诉，人员更换配合及时；差：不服从调度、频繁推诿，评价不合格、频繁投诉，人员更换不配合</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驾驶出车与应急保障（4分）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驾驶任务100%安全完成，无违章事故，应急监测出车即时调度、100%保障，无延误；合格：安全完成驾驶任务，无违章事故，能调度符合资质人员保障应急出车；差：驾驶技能不熟练、出现违章事故，无法调度人员，影响应急出车</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w:t>
            </w: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10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后勤事务处理能力（4分）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0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好：熟练操作办公软件，文书台账零差错，简单网络问题快速处置、视频会议调试100%成功；合格：能够操作办公软件完成基本文书台账，能完成基本后勤事务，无重大失误；差：无法熟练操作办公软件，文书台账频繁出错，后勤事务无法完成</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06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合   计</w:t>
            </w:r>
          </w:p>
        </w:tc>
        <w:tc>
          <w:tcPr>
            <w:tcW w:w="2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themeColor="text1"/>
                <w:sz w:val="20"/>
                <w:szCs w:val="20"/>
                <w:u w:val="none"/>
                <w:lang w:val="en-US" w:eastAsia="zh-CN"/>
                <w14:textFill>
                  <w14:solidFill>
                    <w14:schemeClr w14:val="tx1"/>
                  </w14:solidFill>
                </w14:textFill>
              </w:rPr>
            </w:pPr>
            <w:r>
              <w:rPr>
                <w:rFonts w:hint="eastAsia" w:ascii="宋体" w:hAnsi="宋体" w:cs="宋体"/>
                <w:i w:val="0"/>
                <w:iCs w:val="0"/>
                <w:color w:val="000000" w:themeColor="text1"/>
                <w:sz w:val="22"/>
                <w:szCs w:val="22"/>
                <w:u w:val="none"/>
                <w:lang w:val="en-US" w:eastAsia="zh-CN"/>
                <w14:textFill>
                  <w14:solidFill>
                    <w14:schemeClr w14:val="tx1"/>
                  </w14:solidFill>
                </w14:textFill>
              </w:rPr>
              <w:t>备注：评价为“好”的该项分值 100%，评价为“中”的该项分值 75%、评价为“差”的该项分值 30%，综合计分低于 85 分，下一年度不予续签合同。</w:t>
            </w:r>
          </w:p>
        </w:tc>
      </w:tr>
    </w:tbl>
    <w:p>
      <w:pPr>
        <w:spacing w:line="560" w:lineRule="exact"/>
        <w:ind w:right="0" w:firstLine="0"/>
        <w:jc w:val="center"/>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sectPr>
          <w:pgSz w:w="16838" w:h="11905" w:orient="landscape"/>
          <w:pgMar w:top="1531" w:right="1440" w:bottom="1531" w:left="1440" w:header="851" w:footer="992" w:gutter="0"/>
          <w:pgNumType w:fmt="decimal"/>
          <w:cols w:space="0" w:num="1"/>
          <w:formProt w:val="0"/>
          <w:rtlGutter w:val="0"/>
          <w:docGrid w:type="linesAndChars" w:linePitch="312" w:charSpace="0"/>
        </w:sectPr>
      </w:pPr>
    </w:p>
    <w:p>
      <w:pPr>
        <w:spacing w:line="560" w:lineRule="exact"/>
        <w:ind w:right="0" w:firstLine="560"/>
        <w:rPr>
          <w:color w:val="000000" w:themeColor="text1"/>
          <w:lang w:val="en-US" w:eastAsia="zh-CN"/>
          <w14:textFill>
            <w14:solidFill>
              <w14:schemeClr w14:val="tx1"/>
            </w14:solidFill>
          </w14:textFill>
        </w:rPr>
      </w:pPr>
    </w:p>
    <w:p>
      <w:pPr>
        <w:spacing w:line="540" w:lineRule="exact"/>
        <w:ind w:right="0"/>
        <w:rPr>
          <w:rFonts w:ascii="Times New Roman" w:hAnsi="Times New Roman" w:cs="Times New Roman"/>
          <w:color w:val="000000" w:themeColor="text1"/>
          <w:lang w:val="en-US" w:eastAsia="zh-CN"/>
          <w14:textFill>
            <w14:solidFill>
              <w14:schemeClr w14:val="tx1"/>
            </w14:solidFill>
          </w14:textFill>
        </w:rPr>
      </w:pPr>
      <w:r>
        <w:rPr>
          <w:rFonts w:ascii="Times New Roman" w:hAnsi="Times New Roman" w:cs="Times New Roman"/>
          <w:color w:val="000000" w:themeColor="text1"/>
          <w:lang w:val="en-US" w:eastAsia="zh-CN"/>
          <w14:textFill>
            <w14:solidFill>
              <w14:schemeClr w14:val="tx1"/>
            </w14:solidFill>
          </w14:textFill>
        </w:rPr>
        <w:t>附件2</w:t>
      </w:r>
    </w:p>
    <w:p>
      <w:pPr>
        <w:jc w:val="center"/>
        <w:rPr>
          <w:rFonts w:ascii="Times New Roman" w:hAnsi="Times New Roman" w:eastAsia="仿宋" w:cs="Times New Roman"/>
          <w:b w:val="0"/>
          <w:color w:val="000000" w:themeColor="text1"/>
          <w:sz w:val="36"/>
          <w:szCs w:val="36"/>
          <w14:textFill>
            <w14:solidFill>
              <w14:schemeClr w14:val="tx1"/>
            </w14:solidFill>
          </w14:textFill>
        </w:rPr>
      </w:pPr>
      <w:r>
        <w:rPr>
          <w:rFonts w:ascii="Times New Roman" w:hAnsi="Times New Roman" w:eastAsia="仿宋" w:cs="Times New Roman"/>
          <w:color w:val="000000" w:themeColor="text1"/>
          <w:sz w:val="36"/>
          <w:szCs w:val="36"/>
          <w14:textFill>
            <w14:solidFill>
              <w14:schemeClr w14:val="tx1"/>
            </w14:solidFill>
          </w14:textFill>
        </w:rPr>
        <w:t>报价函</w:t>
      </w:r>
    </w:p>
    <w:p>
      <w:pPr>
        <w:spacing w:line="560" w:lineRule="exact"/>
        <w:rPr>
          <w:rFonts w:ascii="Times New Roman" w:hAnsi="Times New Roman" w:eastAsia="仿宋" w:cs="Times New Roman"/>
          <w:color w:val="000000" w:themeColor="text1"/>
          <w:sz w:val="30"/>
          <w:szCs w:val="30"/>
          <w:u w:val="single"/>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致：</w:t>
      </w:r>
      <w:bookmarkStart w:id="0" w:name="_Hlk182041393"/>
      <w:r>
        <w:rPr>
          <w:rStyle w:val="11"/>
          <w:rFonts w:ascii="Times New Roman" w:hAnsi="Times New Roman" w:eastAsia="仿宋" w:cs="Times New Roman"/>
          <w:b w:val="0"/>
          <w:color w:val="000000" w:themeColor="text1"/>
          <w:sz w:val="30"/>
          <w:szCs w:val="30"/>
          <w:u w:val="single"/>
          <w14:textFill>
            <w14:solidFill>
              <w14:schemeClr w14:val="tx1"/>
            </w14:solidFill>
          </w14:textFill>
        </w:rPr>
        <w:t>福建省泉州环境监测中心站</w:t>
      </w:r>
      <w:bookmarkEnd w:id="0"/>
    </w:p>
    <w:p>
      <w:pPr>
        <w:spacing w:line="360" w:lineRule="auto"/>
        <w:ind w:right="0" w:firstLine="600"/>
        <w:rPr>
          <w:rFonts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根据贵单位</w:t>
      </w:r>
      <w:r>
        <w:rPr>
          <w:rFonts w:ascii="Times New Roman" w:hAnsi="Times New Roman" w:eastAsia="仿宋" w:cs="Times New Roman"/>
          <w:color w:val="000000" w:themeColor="text1"/>
          <w:sz w:val="30"/>
          <w:szCs w:val="30"/>
          <w:u w:val="single"/>
          <w14:textFill>
            <w14:solidFill>
              <w14:schemeClr w14:val="tx1"/>
            </w14:solidFill>
          </w14:textFill>
        </w:rPr>
        <w:t>监测大楼物业管理服务</w:t>
      </w:r>
      <w:r>
        <w:rPr>
          <w:rFonts w:ascii="Times New Roman" w:hAnsi="Times New Roman" w:eastAsia="仿宋" w:cs="Times New Roman"/>
          <w:color w:val="000000" w:themeColor="text1"/>
          <w:sz w:val="30"/>
          <w:szCs w:val="30"/>
          <w:u w:val="single"/>
          <w:lang w:eastAsia="zh-CN"/>
          <w14:textFill>
            <w14:solidFill>
              <w14:schemeClr w14:val="tx1"/>
            </w14:solidFill>
          </w14:textFill>
        </w:rPr>
        <w:t>采购</w:t>
      </w:r>
      <w:r>
        <w:rPr>
          <w:rFonts w:ascii="Times New Roman" w:hAnsi="Times New Roman" w:eastAsia="仿宋" w:cs="Times New Roman"/>
          <w:color w:val="000000" w:themeColor="text1"/>
          <w:sz w:val="30"/>
          <w:szCs w:val="30"/>
          <w:u w:val="single"/>
          <w14:textFill>
            <w14:solidFill>
              <w14:schemeClr w14:val="tx1"/>
            </w14:solidFill>
          </w14:textFill>
        </w:rPr>
        <w:t>项目</w:t>
      </w:r>
      <w:r>
        <w:rPr>
          <w:rStyle w:val="11"/>
          <w:rFonts w:ascii="Times New Roman" w:hAnsi="Times New Roman" w:eastAsia="仿宋" w:cs="Times New Roman"/>
          <w:b w:val="0"/>
          <w:bCs/>
          <w:color w:val="000000" w:themeColor="text1"/>
          <w:sz w:val="30"/>
          <w:szCs w:val="30"/>
          <w14:textFill>
            <w14:solidFill>
              <w14:schemeClr w14:val="tx1"/>
            </w14:solidFill>
          </w14:textFill>
        </w:rPr>
        <w:t>的市场调研公告要求</w:t>
      </w:r>
      <w:r>
        <w:rPr>
          <w:rFonts w:ascii="Times New Roman" w:hAnsi="Times New Roman" w:eastAsia="仿宋" w:cs="Times New Roman"/>
          <w:color w:val="000000" w:themeColor="text1"/>
          <w:sz w:val="30"/>
          <w:szCs w:val="30"/>
          <w14:textFill>
            <w14:solidFill>
              <w14:schemeClr w14:val="tx1"/>
            </w14:solidFill>
          </w14:textFill>
        </w:rPr>
        <w:t>，我司报价金额为</w:t>
      </w:r>
      <w:r>
        <w:rPr>
          <w:rFonts w:ascii="Times New Roman" w:hAnsi="Times New Roman" w:eastAsia="Times New Roman" w:cs="Times New Roman"/>
          <w:color w:val="000000" w:themeColor="text1"/>
          <w:sz w:val="30"/>
          <w:szCs w:val="30"/>
          <w:u w:val="single"/>
          <w14:textFill>
            <w14:solidFill>
              <w14:schemeClr w14:val="tx1"/>
            </w14:solidFill>
          </w14:textFill>
        </w:rPr>
        <w:t xml:space="preserve">       </w:t>
      </w:r>
      <w:r>
        <w:rPr>
          <w:rFonts w:ascii="Times New Roman" w:hAnsi="Times New Roman" w:eastAsia="仿宋" w:cs="Times New Roman"/>
          <w:color w:val="000000" w:themeColor="text1"/>
          <w:sz w:val="30"/>
          <w:szCs w:val="30"/>
          <w14:textFill>
            <w14:solidFill>
              <w14:schemeClr w14:val="tx1"/>
            </w14:solidFill>
          </w14:textFill>
        </w:rPr>
        <w:t>元/年（小写）；人民币大写：　　　　　　元整/年。本报价为包含采购方案全部服务内容及税费的年度总价，提交的全部报价文件由下述部分组成：</w:t>
      </w:r>
    </w:p>
    <w:p>
      <w:pPr>
        <w:keepNext w:val="0"/>
        <w:keepLines w:val="0"/>
        <w:pageBreakBefore w:val="0"/>
        <w:widowControl w:val="0"/>
        <w:numPr>
          <w:ilvl w:val="0"/>
          <w:numId w:val="0"/>
        </w:numPr>
        <w:kinsoku/>
        <w:overflowPunct/>
        <w:autoSpaceDE/>
        <w:bidi w:val="0"/>
        <w:snapToGrid/>
        <w:spacing w:line="360" w:lineRule="auto"/>
        <w:ind w:left="0" w:right="0" w:firstLine="600"/>
        <w:textAlignment w:val="auto"/>
        <w:rPr>
          <w:rFonts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lang w:val="en-US" w:eastAsia="zh-CN"/>
          <w14:textFill>
            <w14:solidFill>
              <w14:schemeClr w14:val="tx1"/>
            </w14:solidFill>
          </w14:textFill>
        </w:rPr>
        <w:t>1</w:t>
      </w:r>
      <w:r>
        <w:rPr>
          <w:rFonts w:ascii="Times New Roman" w:hAnsi="Times New Roman" w:eastAsia="仿宋" w:cs="Times New Roman"/>
          <w:color w:val="000000" w:themeColor="text1"/>
          <w:sz w:val="30"/>
          <w:szCs w:val="30"/>
          <w14:textFill>
            <w14:solidFill>
              <w14:schemeClr w14:val="tx1"/>
            </w14:solidFill>
          </w14:textFill>
        </w:rPr>
        <w:t>. 企业营业执照</w:t>
      </w:r>
    </w:p>
    <w:p>
      <w:pPr>
        <w:keepNext w:val="0"/>
        <w:keepLines w:val="0"/>
        <w:pageBreakBefore w:val="0"/>
        <w:widowControl w:val="0"/>
        <w:kinsoku/>
        <w:overflowPunct/>
        <w:autoSpaceDE/>
        <w:bidi w:val="0"/>
        <w:snapToGrid/>
        <w:spacing w:line="360" w:lineRule="auto"/>
        <w:ind w:right="0" w:firstLine="600"/>
        <w:textAlignment w:val="auto"/>
        <w:rPr>
          <w:rFonts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lang w:val="en-US" w:eastAsia="zh-CN"/>
          <w14:textFill>
            <w14:solidFill>
              <w14:schemeClr w14:val="tx1"/>
            </w14:solidFill>
          </w14:textFill>
        </w:rPr>
        <w:t>2</w:t>
      </w:r>
      <w:r>
        <w:rPr>
          <w:rFonts w:ascii="Times New Roman" w:hAnsi="Times New Roman" w:eastAsia="仿宋" w:cs="Times New Roman"/>
          <w:color w:val="000000" w:themeColor="text1"/>
          <w:sz w:val="30"/>
          <w:szCs w:val="30"/>
          <w14:textFill>
            <w14:solidFill>
              <w14:schemeClr w14:val="tx1"/>
            </w14:solidFill>
          </w14:textFill>
        </w:rPr>
        <w:t>. 物业服务报价测算表</w:t>
      </w:r>
    </w:p>
    <w:p>
      <w:pPr>
        <w:keepNext w:val="0"/>
        <w:keepLines w:val="0"/>
        <w:pageBreakBefore w:val="0"/>
        <w:widowControl w:val="0"/>
        <w:kinsoku/>
        <w:overflowPunct/>
        <w:autoSpaceDE/>
        <w:bidi w:val="0"/>
        <w:snapToGrid/>
        <w:spacing w:line="360" w:lineRule="auto"/>
        <w:ind w:right="0" w:firstLine="600"/>
        <w:textAlignment w:val="auto"/>
        <w:rPr>
          <w:rFonts w:ascii="Times New Roman" w:hAnsi="Times New Roman" w:eastAsia="仿宋" w:cs="Times New Roman"/>
          <w:color w:val="000000" w:themeColor="text1"/>
          <w:sz w:val="30"/>
          <w:szCs w:val="30"/>
          <w14:textFill>
            <w14:solidFill>
              <w14:schemeClr w14:val="tx1"/>
            </w14:solidFill>
          </w14:textFill>
        </w:rPr>
      </w:pPr>
      <w:r>
        <w:rPr>
          <w:rFonts w:ascii="Times New Roman" w:hAnsi="Times New Roman" w:eastAsia="仿宋" w:cs="Times New Roman"/>
          <w:color w:val="000000" w:themeColor="text1"/>
          <w:sz w:val="30"/>
          <w:szCs w:val="30"/>
          <w:lang w:val="en-US" w:eastAsia="zh-CN"/>
          <w14:textFill>
            <w14:solidFill>
              <w14:schemeClr w14:val="tx1"/>
            </w14:solidFill>
          </w14:textFill>
        </w:rPr>
        <w:t>3. 履行合同所需资质证明文件复印件（加盖单位公章）。</w:t>
      </w:r>
    </w:p>
    <w:p>
      <w:pPr>
        <w:pStyle w:val="17"/>
        <w:spacing w:line="360" w:lineRule="auto"/>
        <w:ind w:right="0" w:firstLine="480"/>
        <w:rPr>
          <w:rFonts w:ascii="Times New Roman" w:hAnsi="Times New Roman" w:eastAsia="仿宋" w:cs="Times New Roman"/>
          <w:color w:val="000000" w:themeColor="text1"/>
          <w:sz w:val="24"/>
          <w:szCs w:val="24"/>
          <w14:textFill>
            <w14:solidFill>
              <w14:schemeClr w14:val="tx1"/>
            </w14:solidFill>
          </w14:textFill>
        </w:rPr>
      </w:pPr>
    </w:p>
    <w:p>
      <w:pPr>
        <w:pStyle w:val="17"/>
        <w:spacing w:line="360" w:lineRule="auto"/>
        <w:ind w:right="0" w:firstLine="480"/>
        <w:rPr>
          <w:rFonts w:ascii="Times New Roman" w:hAnsi="Times New Roman" w:eastAsia="仿宋" w:cs="Times New Roman"/>
          <w:color w:val="000000" w:themeColor="text1"/>
          <w:sz w:val="24"/>
          <w:szCs w:val="24"/>
          <w14:textFill>
            <w14:solidFill>
              <w14:schemeClr w14:val="tx1"/>
            </w14:solidFill>
          </w14:textFill>
        </w:rPr>
      </w:pPr>
    </w:p>
    <w:p>
      <w:pPr>
        <w:pStyle w:val="17"/>
        <w:spacing w:line="360" w:lineRule="auto"/>
        <w:ind w:right="0" w:firstLine="480"/>
        <w:rPr>
          <w:rFonts w:ascii="Times New Roman" w:hAnsi="Times New Roman" w:eastAsia="仿宋" w:cs="Times New Roman"/>
          <w:color w:val="000000" w:themeColor="text1"/>
          <w:sz w:val="24"/>
          <w:szCs w:val="24"/>
          <w14:textFill>
            <w14:solidFill>
              <w14:schemeClr w14:val="tx1"/>
            </w14:solidFill>
          </w14:textFill>
        </w:rPr>
      </w:pPr>
    </w:p>
    <w:p>
      <w:pPr>
        <w:pStyle w:val="17"/>
        <w:spacing w:line="360" w:lineRule="auto"/>
        <w:ind w:right="0" w:firstLine="480"/>
        <w:rPr>
          <w:rFonts w:ascii="Times New Roman" w:hAnsi="Times New Roman" w:eastAsia="仿宋" w:cs="Times New Roman"/>
          <w:color w:val="000000" w:themeColor="text1"/>
          <w:sz w:val="24"/>
          <w:szCs w:val="24"/>
          <w14:textFill>
            <w14:solidFill>
              <w14:schemeClr w14:val="tx1"/>
            </w14:solidFill>
          </w14:textFill>
        </w:rPr>
      </w:pPr>
    </w:p>
    <w:p>
      <w:pPr>
        <w:pStyle w:val="20"/>
        <w:spacing w:line="360" w:lineRule="auto"/>
        <w:ind w:right="0" w:firstLine="600"/>
        <w:rPr>
          <w:rFonts w:ascii="Times New Roman" w:hAnsi="Times New Roman" w:eastAsia="仿宋" w:cs="Times New Roman"/>
          <w:color w:val="000000" w:themeColor="text1"/>
          <w:sz w:val="30"/>
          <w:szCs w:val="30"/>
          <w14:textFill>
            <w14:solidFill>
              <w14:schemeClr w14:val="tx1"/>
            </w14:solidFill>
          </w14:textFill>
        </w:rPr>
      </w:pPr>
    </w:p>
    <w:p>
      <w:pPr>
        <w:spacing w:line="360" w:lineRule="auto"/>
        <w:ind w:right="0" w:firstLine="600"/>
        <w:rPr>
          <w:rFonts w:ascii="Times New Roman" w:hAnsi="Times New Roman" w:eastAsia="仿宋" w:cs="Times New Roman"/>
          <w:color w:val="000000" w:themeColor="text1"/>
          <w:sz w:val="30"/>
          <w:szCs w:val="30"/>
          <w:u w:val="single"/>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报价人（全称并加盖单位公章）：</w:t>
      </w:r>
      <w:r>
        <w:rPr>
          <w:rFonts w:ascii="Times New Roman" w:hAnsi="Times New Roman" w:eastAsia="Times New Roman" w:cs="Times New Roman"/>
          <w:color w:val="000000" w:themeColor="text1"/>
          <w:sz w:val="30"/>
          <w:szCs w:val="30"/>
          <w:u w:val="single"/>
          <w14:textFill>
            <w14:solidFill>
              <w14:schemeClr w14:val="tx1"/>
            </w14:solidFill>
          </w14:textFill>
        </w:rPr>
        <w:t xml:space="preserve">                       </w:t>
      </w:r>
    </w:p>
    <w:p>
      <w:pPr>
        <w:spacing w:line="360" w:lineRule="auto"/>
        <w:ind w:right="0" w:firstLine="600"/>
        <w:rPr>
          <w:rFonts w:ascii="Times New Roman" w:hAnsi="Times New Roman" w:eastAsia="仿宋" w:cs="Times New Roman"/>
          <w:color w:val="000000" w:themeColor="text1"/>
          <w:sz w:val="30"/>
          <w:szCs w:val="30"/>
          <w:u w:val="single"/>
          <w14:textFill>
            <w14:solidFill>
              <w14:schemeClr w14:val="tx1"/>
            </w14:solidFill>
          </w14:textFill>
        </w:rPr>
      </w:pPr>
      <w:r>
        <w:rPr>
          <w:rFonts w:ascii="Times New Roman" w:hAnsi="Times New Roman" w:eastAsia="仿宋" w:cs="Times New Roman"/>
          <w:color w:val="000000" w:themeColor="text1"/>
          <w:sz w:val="30"/>
          <w:szCs w:val="30"/>
          <w14:textFill>
            <w14:solidFill>
              <w14:schemeClr w14:val="tx1"/>
            </w14:solidFill>
          </w14:textFill>
        </w:rPr>
        <w:t>日期：</w:t>
      </w:r>
      <w:r>
        <w:rPr>
          <w:rFonts w:ascii="Times New Roman" w:hAnsi="Times New Roman" w:eastAsia="Times New Roman" w:cs="Times New Roman"/>
          <w:color w:val="000000" w:themeColor="text1"/>
          <w:sz w:val="30"/>
          <w:szCs w:val="30"/>
          <w14:textFill>
            <w14:solidFill>
              <w14:schemeClr w14:val="tx1"/>
            </w14:solidFill>
          </w14:textFill>
        </w:rPr>
        <w:t xml:space="preserve"> </w:t>
      </w:r>
      <w:r>
        <w:rPr>
          <w:rFonts w:ascii="Times New Roman" w:hAnsi="Times New Roman" w:eastAsia="Times New Roman" w:cs="Times New Roman"/>
          <w:color w:val="000000" w:themeColor="text1"/>
          <w:sz w:val="30"/>
          <w:szCs w:val="30"/>
          <w:u w:val="single"/>
          <w14:textFill>
            <w14:solidFill>
              <w14:schemeClr w14:val="tx1"/>
            </w14:solidFill>
          </w14:textFill>
        </w:rPr>
        <w:t xml:space="preserve">      </w:t>
      </w:r>
      <w:r>
        <w:rPr>
          <w:rFonts w:ascii="Times New Roman" w:hAnsi="Times New Roman" w:eastAsia="仿宋" w:cs="Times New Roman"/>
          <w:color w:val="000000" w:themeColor="text1"/>
          <w:sz w:val="30"/>
          <w:szCs w:val="30"/>
          <w14:textFill>
            <w14:solidFill>
              <w14:schemeClr w14:val="tx1"/>
            </w14:solidFill>
          </w14:textFill>
        </w:rPr>
        <w:t>年</w:t>
      </w:r>
      <w:r>
        <w:rPr>
          <w:rFonts w:ascii="Times New Roman" w:hAnsi="Times New Roman" w:eastAsia="Times New Roman" w:cs="Times New Roman"/>
          <w:color w:val="000000" w:themeColor="text1"/>
          <w:sz w:val="30"/>
          <w:szCs w:val="30"/>
          <w:u w:val="single"/>
          <w14:textFill>
            <w14:solidFill>
              <w14:schemeClr w14:val="tx1"/>
            </w14:solidFill>
          </w14:textFill>
        </w:rPr>
        <w:t xml:space="preserve">     </w:t>
      </w:r>
      <w:r>
        <w:rPr>
          <w:rFonts w:ascii="Times New Roman" w:hAnsi="Times New Roman" w:eastAsia="仿宋" w:cs="Times New Roman"/>
          <w:color w:val="000000" w:themeColor="text1"/>
          <w:sz w:val="30"/>
          <w:szCs w:val="30"/>
          <w14:textFill>
            <w14:solidFill>
              <w14:schemeClr w14:val="tx1"/>
            </w14:solidFill>
          </w14:textFill>
        </w:rPr>
        <w:t>月</w:t>
      </w:r>
      <w:r>
        <w:rPr>
          <w:rFonts w:ascii="Times New Roman" w:hAnsi="Times New Roman" w:eastAsia="Times New Roman" w:cs="Times New Roman"/>
          <w:color w:val="000000" w:themeColor="text1"/>
          <w:sz w:val="30"/>
          <w:szCs w:val="30"/>
          <w:u w:val="single"/>
          <w14:textFill>
            <w14:solidFill>
              <w14:schemeClr w14:val="tx1"/>
            </w14:solidFill>
          </w14:textFill>
        </w:rPr>
        <w:t xml:space="preserve">    </w:t>
      </w:r>
      <w:r>
        <w:rPr>
          <w:rFonts w:ascii="Times New Roman" w:hAnsi="Times New Roman" w:eastAsia="仿宋" w:cs="Times New Roman"/>
          <w:color w:val="000000" w:themeColor="text1"/>
          <w:sz w:val="30"/>
          <w:szCs w:val="30"/>
          <w14:textFill>
            <w14:solidFill>
              <w14:schemeClr w14:val="tx1"/>
            </w14:solidFill>
          </w14:textFill>
        </w:rPr>
        <w:t>日</w:t>
      </w:r>
      <w:r>
        <w:rPr>
          <w:color w:val="000000" w:themeColor="text1"/>
          <w14:textFill>
            <w14:solidFill>
              <w14:schemeClr w14:val="tx1"/>
            </w14:solidFill>
          </w14:textFill>
        </w:rPr>
        <w:br w:type="page"/>
      </w:r>
    </w:p>
    <w:p>
      <w:pPr>
        <w:rPr>
          <w:rFonts w:ascii="Times New Roman" w:hAnsi="Times New Roman" w:cs="Times New Roman"/>
          <w:color w:val="000000" w:themeColor="text1"/>
          <w:lang w:val="en-US" w:eastAsia="zh-CN"/>
          <w14:textFill>
            <w14:solidFill>
              <w14:schemeClr w14:val="tx1"/>
            </w14:solidFill>
          </w14:textFill>
        </w:rPr>
      </w:pPr>
      <w:r>
        <w:rPr>
          <w:rFonts w:ascii="Times New Roman" w:hAnsi="Times New Roman" w:cs="Times New Roman"/>
          <w:color w:val="000000" w:themeColor="text1"/>
          <w:lang w:val="en-US" w:eastAsia="zh-CN"/>
          <w14:textFill>
            <w14:solidFill>
              <w14:schemeClr w14:val="tx1"/>
            </w14:solidFill>
          </w14:textFill>
        </w:rPr>
        <w:t>附件3</w:t>
      </w:r>
    </w:p>
    <w:p>
      <w:pPr>
        <w:jc w:val="center"/>
        <w:rPr>
          <w:rFonts w:ascii="Times New Roman" w:hAnsi="Times New Roman" w:eastAsia="仿宋" w:cs="Times New Roman"/>
          <w:b/>
          <w:bCs/>
          <w:color w:val="000000" w:themeColor="text1"/>
          <w:sz w:val="36"/>
          <w:szCs w:val="36"/>
          <w14:textFill>
            <w14:solidFill>
              <w14:schemeClr w14:val="tx1"/>
            </w14:solidFill>
          </w14:textFill>
        </w:rPr>
      </w:pPr>
      <w:r>
        <w:rPr>
          <w:rFonts w:ascii="Times New Roman" w:hAnsi="Times New Roman" w:eastAsia="仿宋" w:cs="Times New Roman"/>
          <w:b/>
          <w:bCs/>
          <w:color w:val="000000" w:themeColor="text1"/>
          <w:sz w:val="36"/>
          <w:szCs w:val="36"/>
          <w14:textFill>
            <w14:solidFill>
              <w14:schemeClr w14:val="tx1"/>
            </w14:solidFill>
          </w14:textFill>
        </w:rPr>
        <w:t>物业服务报价测算表</w:t>
      </w:r>
    </w:p>
    <w:tbl>
      <w:tblPr>
        <w:tblStyle w:val="9"/>
        <w:tblW w:w="10409" w:type="dxa"/>
        <w:jc w:val="center"/>
        <w:tblLayout w:type="fixed"/>
        <w:tblCellMar>
          <w:top w:w="0" w:type="dxa"/>
          <w:left w:w="108" w:type="dxa"/>
          <w:bottom w:w="0" w:type="dxa"/>
          <w:right w:w="108" w:type="dxa"/>
        </w:tblCellMar>
      </w:tblPr>
      <w:tblGrid>
        <w:gridCol w:w="620"/>
        <w:gridCol w:w="1220"/>
        <w:gridCol w:w="2320"/>
        <w:gridCol w:w="802"/>
        <w:gridCol w:w="3402"/>
        <w:gridCol w:w="1418"/>
        <w:gridCol w:w="627"/>
      </w:tblGrid>
      <w:tr>
        <w:tblPrEx>
          <w:tblCellMar>
            <w:top w:w="0" w:type="dxa"/>
            <w:left w:w="108" w:type="dxa"/>
            <w:bottom w:w="0" w:type="dxa"/>
            <w:right w:w="108" w:type="dxa"/>
          </w:tblCellMar>
        </w:tblPrEx>
        <w:trPr>
          <w:trHeight w:val="379" w:hRule="atLeast"/>
          <w:tblHeader/>
          <w:jc w:val="center"/>
        </w:trPr>
        <w:tc>
          <w:tcPr>
            <w:tcW w:w="62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2"/>
                <w:szCs w:val="22"/>
                <w14:textFill>
                  <w14:solidFill>
                    <w14:schemeClr w14:val="tx1"/>
                  </w14:solidFill>
                </w14:textFill>
              </w:rPr>
            </w:pPr>
            <w:r>
              <w:rPr>
                <w:rFonts w:ascii="Times New Roman" w:hAnsi="Times New Roman" w:cs="Times New Roman"/>
                <w:color w:val="000000" w:themeColor="text1"/>
                <w:kern w:val="0"/>
                <w:sz w:val="22"/>
                <w:szCs w:val="22"/>
                <w14:textFill>
                  <w14:solidFill>
                    <w14:schemeClr w14:val="tx1"/>
                  </w14:solidFill>
                </w14:textFill>
              </w:rPr>
              <w:t>序号</w:t>
            </w:r>
          </w:p>
        </w:tc>
        <w:tc>
          <w:tcPr>
            <w:tcW w:w="1220" w:type="dxa"/>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2"/>
                <w:szCs w:val="22"/>
                <w14:textFill>
                  <w14:solidFill>
                    <w14:schemeClr w14:val="tx1"/>
                  </w14:solidFill>
                </w14:textFill>
              </w:rPr>
            </w:pPr>
            <w:r>
              <w:rPr>
                <w:rFonts w:ascii="Times New Roman" w:hAnsi="Times New Roman" w:cs="Times New Roman"/>
                <w:color w:val="000000" w:themeColor="text1"/>
                <w:kern w:val="0"/>
                <w:sz w:val="22"/>
                <w:szCs w:val="22"/>
                <w14:textFill>
                  <w14:solidFill>
                    <w14:schemeClr w14:val="tx1"/>
                  </w14:solidFill>
                </w14:textFill>
              </w:rPr>
              <w:t>类别</w:t>
            </w:r>
          </w:p>
        </w:tc>
        <w:tc>
          <w:tcPr>
            <w:tcW w:w="2320" w:type="dxa"/>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2"/>
                <w:szCs w:val="22"/>
                <w14:textFill>
                  <w14:solidFill>
                    <w14:schemeClr w14:val="tx1"/>
                  </w14:solidFill>
                </w14:textFill>
              </w:rPr>
            </w:pPr>
            <w:r>
              <w:rPr>
                <w:rFonts w:ascii="Times New Roman" w:hAnsi="Times New Roman" w:cs="Times New Roman"/>
                <w:color w:val="000000" w:themeColor="text1"/>
                <w:kern w:val="0"/>
                <w:sz w:val="22"/>
                <w:szCs w:val="22"/>
                <w14:textFill>
                  <w14:solidFill>
                    <w14:schemeClr w14:val="tx1"/>
                  </w14:solidFill>
                </w14:textFill>
              </w:rPr>
              <w:t>项目</w:t>
            </w:r>
          </w:p>
        </w:tc>
        <w:tc>
          <w:tcPr>
            <w:tcW w:w="802" w:type="dxa"/>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2"/>
                <w:szCs w:val="22"/>
                <w14:textFill>
                  <w14:solidFill>
                    <w14:schemeClr w14:val="tx1"/>
                  </w14:solidFill>
                </w14:textFill>
              </w:rPr>
            </w:pPr>
            <w:r>
              <w:rPr>
                <w:rFonts w:ascii="Times New Roman" w:hAnsi="Times New Roman" w:cs="Times New Roman"/>
                <w:color w:val="000000" w:themeColor="text1"/>
                <w:kern w:val="0"/>
                <w:sz w:val="22"/>
                <w:szCs w:val="22"/>
                <w14:textFill>
                  <w14:solidFill>
                    <w14:schemeClr w14:val="tx1"/>
                  </w14:solidFill>
                </w14:textFill>
              </w:rPr>
              <w:t>人数</w:t>
            </w:r>
          </w:p>
        </w:tc>
        <w:tc>
          <w:tcPr>
            <w:tcW w:w="3402" w:type="dxa"/>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2"/>
                <w:szCs w:val="22"/>
                <w14:textFill>
                  <w14:solidFill>
                    <w14:schemeClr w14:val="tx1"/>
                  </w14:solidFill>
                </w14:textFill>
              </w:rPr>
            </w:pPr>
            <w:r>
              <w:rPr>
                <w:rFonts w:ascii="Times New Roman" w:hAnsi="Times New Roman" w:cs="Times New Roman"/>
                <w:color w:val="000000" w:themeColor="text1"/>
                <w:kern w:val="0"/>
                <w:sz w:val="22"/>
                <w:szCs w:val="22"/>
                <w14:textFill>
                  <w14:solidFill>
                    <w14:schemeClr w14:val="tx1"/>
                  </w14:solidFill>
                </w14:textFill>
              </w:rPr>
              <w:t>计算依据</w:t>
            </w:r>
          </w:p>
        </w:tc>
        <w:tc>
          <w:tcPr>
            <w:tcW w:w="1418" w:type="dxa"/>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2"/>
                <w:szCs w:val="22"/>
                <w14:textFill>
                  <w14:solidFill>
                    <w14:schemeClr w14:val="tx1"/>
                  </w14:solidFill>
                </w14:textFill>
              </w:rPr>
            </w:pPr>
            <w:r>
              <w:rPr>
                <w:rFonts w:ascii="Times New Roman" w:hAnsi="Times New Roman" w:cs="Times New Roman"/>
                <w:color w:val="000000" w:themeColor="text1"/>
                <w:kern w:val="0"/>
                <w:sz w:val="22"/>
                <w:szCs w:val="22"/>
                <w14:textFill>
                  <w14:solidFill>
                    <w14:schemeClr w14:val="tx1"/>
                  </w14:solidFill>
                </w14:textFill>
              </w:rPr>
              <w:t>金额（元/年）</w:t>
            </w:r>
          </w:p>
        </w:tc>
        <w:tc>
          <w:tcPr>
            <w:tcW w:w="627" w:type="dxa"/>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2"/>
                <w:szCs w:val="22"/>
                <w14:textFill>
                  <w14:solidFill>
                    <w14:schemeClr w14:val="tx1"/>
                  </w14:solidFill>
                </w14:textFill>
              </w:rPr>
            </w:pPr>
            <w:r>
              <w:rPr>
                <w:rFonts w:ascii="Times New Roman" w:hAnsi="Times New Roman" w:cs="Times New Roman"/>
                <w:color w:val="000000" w:themeColor="text1"/>
                <w:kern w:val="0"/>
                <w:sz w:val="22"/>
                <w:szCs w:val="22"/>
                <w14:textFill>
                  <w14:solidFill>
                    <w14:schemeClr w14:val="tx1"/>
                  </w14:solidFill>
                </w14:textFill>
              </w:rPr>
              <w:t>备注</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w:t>
            </w:r>
          </w:p>
        </w:tc>
        <w:tc>
          <w:tcPr>
            <w:tcW w:w="1220" w:type="dxa"/>
            <w:vMerge w:val="restart"/>
            <w:tcBorders>
              <w:left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人员薪资</w:t>
            </w: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项目主管（兼）</w:t>
            </w:r>
          </w:p>
        </w:tc>
        <w:tc>
          <w:tcPr>
            <w:tcW w:w="8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薪资标准（兼职）：</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w:t>
            </w:r>
          </w:p>
        </w:tc>
        <w:tc>
          <w:tcPr>
            <w:tcW w:w="1220" w:type="dxa"/>
            <w:vMerge w:val="continue"/>
            <w:tcBorders>
              <w:left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水电维修工（兼）</w:t>
            </w:r>
          </w:p>
        </w:tc>
        <w:tc>
          <w:tcPr>
            <w:tcW w:w="8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薪资标准（兼职）：</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3</w:t>
            </w:r>
          </w:p>
        </w:tc>
        <w:tc>
          <w:tcPr>
            <w:tcW w:w="1220" w:type="dxa"/>
            <w:vMerge w:val="continue"/>
            <w:tcBorders>
              <w:left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保安员</w:t>
            </w:r>
          </w:p>
        </w:tc>
        <w:tc>
          <w:tcPr>
            <w:tcW w:w="802" w:type="dxa"/>
            <w:tcBorders>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3 </w:t>
            </w:r>
          </w:p>
        </w:tc>
        <w:tc>
          <w:tcPr>
            <w:tcW w:w="3402" w:type="dxa"/>
            <w:tcBorders>
              <w:bottom w:val="single" w:color="000000" w:sz="4" w:space="0"/>
              <w:right w:val="single" w:color="000000" w:sz="4" w:space="0"/>
            </w:tcBorders>
            <w:vAlign w:val="center"/>
          </w:tcPr>
          <w:p>
            <w:pPr>
              <w:widowControl/>
              <w:jc w:val="lef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薪资标准：</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4</w:t>
            </w:r>
          </w:p>
        </w:tc>
        <w:tc>
          <w:tcPr>
            <w:tcW w:w="1220" w:type="dxa"/>
            <w:vMerge w:val="continue"/>
            <w:tcBorders>
              <w:left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保洁员</w:t>
            </w:r>
          </w:p>
        </w:tc>
        <w:tc>
          <w:tcPr>
            <w:tcW w:w="802" w:type="dxa"/>
            <w:tcBorders>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w:t>
            </w:r>
          </w:p>
        </w:tc>
        <w:tc>
          <w:tcPr>
            <w:tcW w:w="3402" w:type="dxa"/>
            <w:tcBorders>
              <w:bottom w:val="single" w:color="000000" w:sz="4" w:space="0"/>
              <w:right w:val="single" w:color="000000" w:sz="4" w:space="0"/>
            </w:tcBorders>
            <w:vAlign w:val="center"/>
          </w:tcPr>
          <w:p>
            <w:pPr>
              <w:widowControl/>
              <w:jc w:val="lef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薪资标准：</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vMerge w:val="restart"/>
            <w:tcBorders>
              <w:left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5</w:t>
            </w:r>
          </w:p>
        </w:tc>
        <w:tc>
          <w:tcPr>
            <w:tcW w:w="1220" w:type="dxa"/>
            <w:vMerge w:val="continue"/>
            <w:tcBorders>
              <w:left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常规</w:t>
            </w:r>
            <w:r>
              <w:rPr>
                <w:rFonts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后勤保障服务人员</w:t>
            </w:r>
          </w:p>
        </w:tc>
        <w:tc>
          <w:tcPr>
            <w:tcW w:w="802" w:type="dxa"/>
            <w:tcBorders>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14:textFill>
                  <w14:solidFill>
                    <w14:schemeClr w14:val="tx1"/>
                  </w14:solidFill>
                </w14:textFill>
              </w:rPr>
            </w:pPr>
            <w:r>
              <w:rPr>
                <w:rFonts w:ascii="Times New Roman" w:hAnsi="Times New Roman" w:cs="Times New Roman"/>
                <w:color w:val="000000" w:themeColor="text1"/>
                <w:kern w:val="0"/>
                <w:sz w:val="20"/>
                <w:szCs w:val="20"/>
                <w:lang w:val="en-US" w:eastAsia="zh-CN"/>
                <w14:textFill>
                  <w14:solidFill>
                    <w14:schemeClr w14:val="tx1"/>
                  </w14:solidFill>
                </w14:textFill>
              </w:rPr>
              <w:t>1</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薪资标准：</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vMerge w:val="continue"/>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阶段性后勤保障服务</w:t>
            </w:r>
          </w:p>
        </w:tc>
        <w:tc>
          <w:tcPr>
            <w:tcW w:w="8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lang w:val="en-US" w:eastAsia="zh-CN"/>
                <w14:textFill>
                  <w14:solidFill>
                    <w14:schemeClr w14:val="tx1"/>
                  </w14:solidFill>
                </w14:textFill>
              </w:rPr>
            </w:pPr>
            <w:r>
              <w:rPr>
                <w:rFonts w:hint="eastAsia" w:ascii="Times New Roman" w:hAnsi="Times New Roman" w:cs="Times New Roman"/>
                <w:color w:val="000000" w:themeColor="text1"/>
                <w:kern w:val="0"/>
                <w:sz w:val="20"/>
                <w:szCs w:val="20"/>
                <w:lang w:val="en-US" w:eastAsia="zh-CN"/>
                <w14:textFill>
                  <w14:solidFill>
                    <w14:schemeClr w14:val="tx1"/>
                  </w14:solidFill>
                </w14:textFill>
              </w:rPr>
              <w:t>——</w:t>
            </w:r>
          </w:p>
        </w:tc>
        <w:tc>
          <w:tcPr>
            <w:tcW w:w="3402" w:type="dxa"/>
            <w:tcBorders>
              <w:bottom w:val="single" w:color="000000" w:sz="4" w:space="0"/>
              <w:right w:val="single" w:color="000000" w:sz="4" w:space="0"/>
            </w:tcBorders>
            <w:vAlign w:val="center"/>
          </w:tcPr>
          <w:p>
            <w:pPr>
              <w:widowControl/>
              <w:jc w:val="left"/>
              <w:rPr>
                <w:rFonts w:hint="default" w:ascii="Times New Roman" w:hAnsi="Times New Roman" w:eastAsia="宋体" w:cs="Times New Roman"/>
                <w:color w:val="000000" w:themeColor="text1"/>
                <w:kern w:val="0"/>
                <w:sz w:val="20"/>
                <w:szCs w:val="20"/>
                <w:lang w:val="en-US" w:eastAsia="zh-CN"/>
                <w14:textFill>
                  <w14:solidFill>
                    <w14:schemeClr w14:val="tx1"/>
                  </w14:solidFill>
                </w14:textFill>
              </w:rPr>
            </w:pPr>
            <w:r>
              <w:rPr>
                <w:rFonts w:hint="eastAsia" w:ascii="Times New Roman" w:hAnsi="Times New Roman" w:cs="Times New Roman"/>
                <w:color w:val="000000" w:themeColor="text1"/>
                <w:kern w:val="0"/>
                <w:sz w:val="20"/>
                <w:szCs w:val="20"/>
                <w:lang w:val="en-US" w:eastAsia="zh-CN"/>
                <w14:textFill>
                  <w14:solidFill>
                    <w14:schemeClr w14:val="tx1"/>
                  </w14:solidFill>
                </w14:textFill>
              </w:rPr>
              <w:t>费用标准：</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4" w:hRule="exact"/>
          <w:jc w:val="center"/>
        </w:trPr>
        <w:tc>
          <w:tcPr>
            <w:tcW w:w="4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小计</w:t>
            </w:r>
          </w:p>
        </w:tc>
        <w:tc>
          <w:tcPr>
            <w:tcW w:w="8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8 </w:t>
            </w:r>
          </w:p>
        </w:tc>
        <w:tc>
          <w:tcPr>
            <w:tcW w:w="34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380"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6</w:t>
            </w:r>
          </w:p>
        </w:tc>
        <w:tc>
          <w:tcPr>
            <w:tcW w:w="1220" w:type="dxa"/>
            <w:vMerge w:val="restart"/>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员工保险福利及其他费用</w:t>
            </w: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年终十三薪</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600"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7</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养老</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keepNext w:val="0"/>
              <w:keepLines w:val="0"/>
              <w:widowControl w:val="0"/>
              <w:kinsoku/>
              <w:overflowPunct/>
              <w:autoSpaceDE/>
              <w:bidi w:val="0"/>
              <w:snapToGrid w:val="0"/>
              <w:jc w:val="left"/>
              <w:textAlignment w:val="auto"/>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人数×基数×缴费比率×12个月；基数</w:t>
            </w:r>
          </w:p>
          <w:p>
            <w:pPr>
              <w:keepNext w:val="0"/>
              <w:keepLines w:val="0"/>
              <w:widowControl w:val="0"/>
              <w:kinsoku/>
              <w:overflowPunct/>
              <w:autoSpaceDE/>
              <w:bidi w:val="0"/>
              <w:snapToGrid w:val="0"/>
              <w:jc w:val="left"/>
              <w:textAlignment w:val="auto"/>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lang w:val="en-US" w:eastAsia="zh-CN"/>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元/月、比例16%</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600"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8</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医保（含生育）</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keepNext w:val="0"/>
              <w:keepLines w:val="0"/>
              <w:widowControl w:val="0"/>
              <w:kinsoku/>
              <w:overflowPunct/>
              <w:autoSpaceDE/>
              <w:bidi w:val="0"/>
              <w:snapToGrid w:val="0"/>
              <w:jc w:val="left"/>
              <w:textAlignment w:val="auto"/>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人数×基数×缴费比率×12个月；基数</w:t>
            </w:r>
          </w:p>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lang w:val="en-US" w:eastAsia="zh-CN"/>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元/月、比例7.5%</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600"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9</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失业险</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keepNext w:val="0"/>
              <w:keepLines w:val="0"/>
              <w:widowControl w:val="0"/>
              <w:kinsoku/>
              <w:overflowPunct/>
              <w:autoSpaceDE/>
              <w:bidi w:val="0"/>
              <w:snapToGrid w:val="0"/>
              <w:jc w:val="left"/>
              <w:textAlignment w:val="auto"/>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人数×基数×缴费比率×12个月；基数</w:t>
            </w:r>
          </w:p>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lang w:val="en-US" w:eastAsia="zh-CN"/>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元/月、比例0.5%</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600"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10</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工伤险</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keepNext w:val="0"/>
              <w:keepLines w:val="0"/>
              <w:widowControl w:val="0"/>
              <w:kinsoku/>
              <w:overflowPunct/>
              <w:autoSpaceDE/>
              <w:bidi w:val="0"/>
              <w:snapToGrid w:val="0"/>
              <w:jc w:val="left"/>
              <w:textAlignment w:val="auto"/>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人数×基数×缴费比率×12个月；基数</w:t>
            </w:r>
          </w:p>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lang w:val="en-US" w:eastAsia="zh-CN"/>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元/月、比例0.4%</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4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小计</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1418" w:type="dxa"/>
            <w:tcBorders>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11</w:t>
            </w:r>
          </w:p>
        </w:tc>
        <w:tc>
          <w:tcPr>
            <w:tcW w:w="122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hint="eastAsia" w:ascii="Times New Roman" w:hAnsi="Times New Roman" w:cs="Times New Roman"/>
                <w:color w:val="000000" w:themeColor="text1"/>
                <w:kern w:val="0"/>
                <w:sz w:val="20"/>
                <w:szCs w:val="20"/>
                <w14:textFill>
                  <w14:solidFill>
                    <w14:schemeClr w14:val="tx1"/>
                  </w14:solidFill>
                </w14:textFill>
              </w:rPr>
              <w:t>日常维护/服务</w:t>
            </w:r>
          </w:p>
        </w:tc>
        <w:tc>
          <w:tcPr>
            <w:tcW w:w="2320" w:type="dxa"/>
            <w:tcBorders>
              <w:top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乔木修剪</w:t>
            </w:r>
          </w:p>
        </w:tc>
        <w:tc>
          <w:tcPr>
            <w:tcW w:w="802" w:type="dxa"/>
            <w:tcBorders>
              <w:bottom w:val="single" w:color="000000" w:sz="4" w:space="0"/>
              <w:right w:val="single" w:color="000000" w:sz="4" w:space="0"/>
            </w:tcBorders>
            <w:shd w:val="clear" w:color="auto" w:fill="auto"/>
            <w:vAlign w:val="center"/>
          </w:tcPr>
          <w:p>
            <w:pPr>
              <w:widowControl/>
              <w:jc w:val="righ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shd w:val="clear" w:color="auto" w:fill="auto"/>
            <w:vAlign w:val="center"/>
          </w:tcPr>
          <w:p>
            <w:pPr>
              <w:widowControl/>
              <w:jc w:val="lef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top w:val="single" w:color="000000" w:sz="4" w:space="0"/>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12</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hint="eastAsia" w:ascii="Times New Roman" w:hAnsi="Times New Roman" w:cs="Times New Roman"/>
                <w:color w:val="000000" w:themeColor="text1"/>
                <w:kern w:val="0"/>
                <w:sz w:val="20"/>
                <w:szCs w:val="20"/>
                <w:lang w:val="en-US" w:eastAsia="zh-CN"/>
                <w14:textFill>
                  <w14:solidFill>
                    <w14:schemeClr w14:val="tx1"/>
                  </w14:solidFill>
                </w14:textFill>
              </w:rPr>
              <w:t>防雷检测</w:t>
            </w:r>
          </w:p>
        </w:tc>
        <w:tc>
          <w:tcPr>
            <w:tcW w:w="802" w:type="dxa"/>
            <w:tcBorders>
              <w:bottom w:val="single" w:color="000000" w:sz="4" w:space="0"/>
              <w:right w:val="single" w:color="000000" w:sz="4" w:space="0"/>
            </w:tcBorders>
            <w:shd w:val="clear" w:color="auto" w:fill="auto"/>
            <w:vAlign w:val="center"/>
          </w:tcPr>
          <w:p>
            <w:pPr>
              <w:widowControl/>
              <w:jc w:val="righ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3402" w:type="dxa"/>
            <w:tcBorders>
              <w:bottom w:val="single" w:color="000000" w:sz="4" w:space="0"/>
              <w:right w:val="single" w:color="000000" w:sz="4" w:space="0"/>
            </w:tcBorders>
            <w:shd w:val="clear" w:color="auto" w:fill="auto"/>
            <w:vAlign w:val="center"/>
          </w:tcPr>
          <w:p>
            <w:pPr>
              <w:widowControl/>
              <w:jc w:val="lef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13</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电梯</w:t>
            </w:r>
            <w:r>
              <w:rPr>
                <w:rFonts w:hint="eastAsia" w:ascii="Times New Roman" w:hAnsi="Times New Roman" w:cs="Times New Roman"/>
                <w:color w:val="000000" w:themeColor="text1"/>
                <w:kern w:val="0"/>
                <w:sz w:val="20"/>
                <w:szCs w:val="20"/>
                <w:lang w:val="en-US" w:eastAsia="zh-CN"/>
                <w14:textFill>
                  <w14:solidFill>
                    <w14:schemeClr w14:val="tx1"/>
                  </w14:solidFill>
                </w14:textFill>
              </w:rPr>
              <w:t>检定</w:t>
            </w:r>
            <w:r>
              <w:rPr>
                <w:rFonts w:ascii="Times New Roman" w:hAnsi="Times New Roman" w:cs="Times New Roman"/>
                <w:color w:val="000000" w:themeColor="text1"/>
                <w:kern w:val="0"/>
                <w:sz w:val="20"/>
                <w:szCs w:val="20"/>
                <w14:textFill>
                  <w14:solidFill>
                    <w14:schemeClr w14:val="tx1"/>
                  </w14:solidFill>
                </w14:textFill>
              </w:rPr>
              <w:t>费</w:t>
            </w:r>
          </w:p>
        </w:tc>
        <w:tc>
          <w:tcPr>
            <w:tcW w:w="802" w:type="dxa"/>
            <w:tcBorders>
              <w:bottom w:val="single" w:color="000000" w:sz="4" w:space="0"/>
              <w:right w:val="single" w:color="000000" w:sz="4" w:space="0"/>
            </w:tcBorders>
            <w:shd w:val="clear" w:color="auto" w:fill="auto"/>
            <w:vAlign w:val="center"/>
          </w:tcPr>
          <w:p>
            <w:pPr>
              <w:widowControl/>
              <w:jc w:val="righ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shd w:val="clear" w:color="auto" w:fill="auto"/>
            <w:vAlign w:val="center"/>
          </w:tcPr>
          <w:p>
            <w:pPr>
              <w:widowControl/>
              <w:jc w:val="lef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14</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shd w:val="clear" w:color="auto" w:fill="auto"/>
            <w:vAlign w:val="center"/>
          </w:tcPr>
          <w:p>
            <w:pPr>
              <w:widowControl/>
              <w:jc w:val="center"/>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清洗空调</w:t>
            </w:r>
          </w:p>
        </w:tc>
        <w:tc>
          <w:tcPr>
            <w:tcW w:w="802" w:type="dxa"/>
            <w:tcBorders>
              <w:bottom w:val="single" w:color="000000" w:sz="4" w:space="0"/>
              <w:right w:val="single" w:color="000000" w:sz="4" w:space="0"/>
            </w:tcBorders>
            <w:shd w:val="clear" w:color="auto" w:fill="auto"/>
            <w:vAlign w:val="center"/>
          </w:tcPr>
          <w:p>
            <w:pPr>
              <w:widowControl/>
              <w:jc w:val="righ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shd w:val="clear" w:color="auto" w:fill="auto"/>
            <w:vAlign w:val="center"/>
          </w:tcPr>
          <w:p>
            <w:pPr>
              <w:widowControl/>
              <w:jc w:val="lef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15</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hint="eastAsia" w:ascii="Times New Roman" w:hAnsi="Times New Roman" w:cs="Times New Roman"/>
                <w:color w:val="000000" w:themeColor="text1"/>
                <w:kern w:val="0"/>
                <w:sz w:val="20"/>
                <w:szCs w:val="20"/>
                <w:lang w:val="en-US" w:eastAsia="zh-CN"/>
                <w14:textFill>
                  <w14:solidFill>
                    <w14:schemeClr w14:val="tx1"/>
                  </w14:solidFill>
                </w14:textFill>
              </w:rPr>
              <w:t>水电维修</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16</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hint="eastAsia" w:ascii="Times New Roman" w:hAnsi="Times New Roman" w:cs="Times New Roman"/>
                <w:color w:val="000000" w:themeColor="text1"/>
                <w:kern w:val="0"/>
                <w:sz w:val="20"/>
                <w:szCs w:val="20"/>
                <w14:textFill>
                  <w14:solidFill>
                    <w14:schemeClr w14:val="tx1"/>
                  </w14:solidFill>
                </w14:textFill>
              </w:rPr>
              <w:t>设备搬运</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17</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hint="eastAsia" w:ascii="Times New Roman" w:hAnsi="Times New Roman" w:cs="Times New Roman"/>
                <w:color w:val="000000" w:themeColor="text1"/>
                <w:kern w:val="0"/>
                <w:sz w:val="20"/>
                <w:szCs w:val="20"/>
                <w14:textFill>
                  <w14:solidFill>
                    <w14:schemeClr w14:val="tx1"/>
                  </w14:solidFill>
                </w14:textFill>
              </w:rPr>
              <w:t>危险废物</w:t>
            </w:r>
            <w:r>
              <w:rPr>
                <w:rFonts w:hint="eastAsia" w:ascii="Times New Roman" w:hAnsi="Times New Roman" w:cs="Times New Roman"/>
                <w:color w:val="000000" w:themeColor="text1"/>
                <w:kern w:val="0"/>
                <w:sz w:val="20"/>
                <w:szCs w:val="20"/>
                <w:lang w:val="en-US" w:eastAsia="zh-CN"/>
                <w14:textFill>
                  <w14:solidFill>
                    <w14:schemeClr w14:val="tx1"/>
                  </w14:solidFill>
                </w14:textFill>
              </w:rPr>
              <w:t>搬运</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18</w:t>
            </w:r>
          </w:p>
        </w:tc>
        <w:tc>
          <w:tcPr>
            <w:tcW w:w="1220"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hint="eastAsia" w:ascii="Times New Roman" w:hAnsi="Times New Roman" w:cs="Times New Roman"/>
                <w:color w:val="000000" w:themeColor="text1"/>
                <w:kern w:val="0"/>
                <w:sz w:val="20"/>
                <w:szCs w:val="20"/>
                <w:lang w:val="en-US" w:eastAsia="zh-CN"/>
                <w14:textFill>
                  <w14:solidFill>
                    <w14:schemeClr w14:val="tx1"/>
                  </w14:solidFill>
                </w14:textFill>
              </w:rPr>
              <w:t>门锁维修（含更换）</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元/年</w:t>
            </w:r>
          </w:p>
        </w:tc>
        <w:tc>
          <w:tcPr>
            <w:tcW w:w="1418"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4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小计</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366"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14:textFill>
                  <w14:solidFill>
                    <w14:schemeClr w14:val="tx1"/>
                  </w14:solidFill>
                </w14:textFill>
              </w:rPr>
            </w:pPr>
            <w:r>
              <w:rPr>
                <w:rFonts w:ascii="Times New Roman" w:hAnsi="Times New Roman" w:cs="Times New Roman"/>
                <w:color w:val="000000" w:themeColor="text1"/>
                <w:kern w:val="0"/>
                <w:sz w:val="20"/>
                <w:szCs w:val="20"/>
                <w:lang w:val="en-US" w:eastAsia="zh-CN"/>
                <w14:textFill>
                  <w14:solidFill>
                    <w14:schemeClr w14:val="tx1"/>
                  </w14:solidFill>
                </w14:textFill>
              </w:rPr>
              <w:t>19</w:t>
            </w:r>
          </w:p>
        </w:tc>
        <w:tc>
          <w:tcPr>
            <w:tcW w:w="1220" w:type="dxa"/>
            <w:vMerge w:val="restart"/>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保洁绿化服务费用</w:t>
            </w: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物耗</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392"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w:t>
            </w:r>
            <w:r>
              <w:rPr>
                <w:rFonts w:ascii="Times New Roman" w:hAnsi="Times New Roman" w:cs="Times New Roman"/>
                <w:color w:val="000000" w:themeColor="text1"/>
                <w:kern w:val="0"/>
                <w:sz w:val="20"/>
                <w:szCs w:val="20"/>
                <w:lang w:val="en-US" w:eastAsia="zh-CN"/>
                <w14:textFill>
                  <w14:solidFill>
                    <w14:schemeClr w14:val="tx1"/>
                  </w14:solidFill>
                </w14:textFill>
              </w:rPr>
              <w:t>0</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eastAsia="宋体" w:cs="Times New Roman"/>
                <w:color w:val="000000" w:themeColor="text1"/>
                <w:kern w:val="0"/>
                <w:sz w:val="20"/>
                <w:szCs w:val="20"/>
                <w:lang w:val="en-US" w:eastAsia="zh-CN"/>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工具</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380"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eastAsia="zh-CN"/>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w:t>
            </w:r>
            <w:r>
              <w:rPr>
                <w:rFonts w:ascii="Times New Roman" w:hAnsi="Times New Roman" w:cs="Times New Roman"/>
                <w:color w:val="000000" w:themeColor="text1"/>
                <w:kern w:val="0"/>
                <w:sz w:val="20"/>
                <w:szCs w:val="20"/>
                <w:lang w:val="en-US" w:eastAsia="zh-CN"/>
                <w14:textFill>
                  <w14:solidFill>
                    <w14:schemeClr w14:val="tx1"/>
                  </w14:solidFill>
                </w14:textFill>
              </w:rPr>
              <w:t>1</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eastAsia="宋体" w:cs="Times New Roman"/>
                <w:color w:val="000000" w:themeColor="text1"/>
                <w:kern w:val="0"/>
                <w:sz w:val="20"/>
                <w:szCs w:val="20"/>
                <w:lang w:eastAsia="zh-CN"/>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垃圾清运</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val="en-US" w:eastAsia="zh-CN"/>
                <w14:textFill>
                  <w14:solidFill>
                    <w14:schemeClr w14:val="tx1"/>
                  </w14:solidFill>
                </w14:textFill>
              </w:rPr>
            </w:pPr>
            <w:r>
              <w:rPr>
                <w:rFonts w:ascii="Times New Roman" w:hAnsi="Times New Roman" w:cs="Times New Roman"/>
                <w:color w:val="000000" w:themeColor="text1"/>
                <w:kern w:val="0"/>
                <w:sz w:val="20"/>
                <w:szCs w:val="20"/>
                <w:lang w:val="en-US" w:eastAsia="zh-CN"/>
                <w14:textFill>
                  <w14:solidFill>
                    <w14:schemeClr w14:val="tx1"/>
                  </w14:solidFill>
                </w14:textFill>
              </w:rPr>
              <w:t>22</w:t>
            </w:r>
          </w:p>
        </w:tc>
        <w:tc>
          <w:tcPr>
            <w:tcW w:w="3540" w:type="dxa"/>
            <w:gridSpan w:val="2"/>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电梯维保</w:t>
            </w:r>
          </w:p>
        </w:tc>
        <w:tc>
          <w:tcPr>
            <w:tcW w:w="802"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3402" w:type="dxa"/>
            <w:tcBorders>
              <w:bottom w:val="single" w:color="000000" w:sz="4" w:space="0"/>
              <w:right w:val="single" w:color="000000" w:sz="4" w:space="0"/>
            </w:tcBorders>
            <w:vAlign w:val="center"/>
          </w:tcPr>
          <w:p>
            <w:pPr>
              <w:widowControl/>
              <w:jc w:val="lef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eastAsia="宋体" w:cs="Times New Roman"/>
                <w:color w:val="000000" w:themeColor="text1"/>
                <w:kern w:val="0"/>
                <w:sz w:val="20"/>
                <w:szCs w:val="20"/>
                <w:lang w:val="en-US" w:eastAsia="zh-CN" w:bidi="ar-SA"/>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snapToGrid w:val="0"/>
              <w:jc w:val="center"/>
              <w:rPr>
                <w:rFonts w:ascii="Times New Roman" w:hAnsi="Times New Roman"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4" w:hRule="exact"/>
          <w:jc w:val="center"/>
        </w:trPr>
        <w:tc>
          <w:tcPr>
            <w:tcW w:w="4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小计</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508"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23</w:t>
            </w:r>
          </w:p>
        </w:tc>
        <w:tc>
          <w:tcPr>
            <w:tcW w:w="1220" w:type="dxa"/>
            <w:vMerge w:val="restart"/>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其他</w:t>
            </w: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服装费用</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夏装：</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元/套，冬装：</w:t>
            </w: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元/套；2套夏装、2套冬装/人/2年</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4" w:hRule="exac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24</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消防培训</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71"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eastAsia="宋体" w:cs="Times New Roman"/>
                <w:color w:val="000000" w:themeColor="text1"/>
                <w:kern w:val="0"/>
                <w:sz w:val="20"/>
                <w:szCs w:val="20"/>
                <w:lang w:eastAsia="zh-CN"/>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w:t>
            </w:r>
            <w:r>
              <w:rPr>
                <w:rFonts w:ascii="Times New Roman" w:hAnsi="Times New Roman" w:cs="Times New Roman"/>
                <w:color w:val="000000" w:themeColor="text1"/>
                <w:kern w:val="0"/>
                <w:sz w:val="20"/>
                <w:szCs w:val="20"/>
                <w:lang w:val="en-US" w:eastAsia="zh-CN"/>
                <w14:textFill>
                  <w14:solidFill>
                    <w14:schemeClr w14:val="tx1"/>
                  </w14:solidFill>
                </w14:textFill>
              </w:rPr>
              <w:t>5</w:t>
            </w:r>
          </w:p>
        </w:tc>
        <w:tc>
          <w:tcPr>
            <w:tcW w:w="1220" w:type="dxa"/>
            <w:vMerge w:val="continue"/>
            <w:tcBorders>
              <w:left w:val="single" w:color="000000" w:sz="4" w:space="0"/>
              <w:bottom w:val="single" w:color="000000" w:sz="4" w:space="0"/>
              <w:right w:val="single" w:color="000000" w:sz="4" w:space="0"/>
            </w:tcBorders>
            <w:vAlign w:val="center"/>
          </w:tcPr>
          <w:p>
            <w:pPr>
              <w:widowControl/>
              <w:snapToGrid w:val="0"/>
              <w:jc w:val="left"/>
              <w:rPr>
                <w:rFonts w:ascii="Times New Roman" w:hAnsi="Times New Roman" w:eastAsia="宋体" w:cs="Times New Roman"/>
                <w:color w:val="000000" w:themeColor="text1"/>
                <w:kern w:val="0"/>
                <w:sz w:val="20"/>
                <w:szCs w:val="20"/>
                <w:lang w:eastAsia="zh-CN"/>
                <w14:textFill>
                  <w14:solidFill>
                    <w14:schemeClr w14:val="tx1"/>
                  </w14:solidFill>
                </w14:textFill>
              </w:rPr>
            </w:pPr>
          </w:p>
        </w:tc>
        <w:tc>
          <w:tcPr>
            <w:tcW w:w="2320"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安全检查</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Times New Roman" w:cs="Times New Roman"/>
                <w:color w:val="000000" w:themeColor="text1"/>
                <w:kern w:val="0"/>
                <w:sz w:val="20"/>
                <w:szCs w:val="20"/>
                <w:u w:val="single"/>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元/月</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62" w:hRule="atLeast"/>
          <w:jc w:val="center"/>
        </w:trPr>
        <w:tc>
          <w:tcPr>
            <w:tcW w:w="4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小计</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62" w:hRule="atLeast"/>
          <w:jc w:val="center"/>
        </w:trPr>
        <w:tc>
          <w:tcPr>
            <w:tcW w:w="4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合计（1+2+…+2</w:t>
            </w:r>
            <w:r>
              <w:rPr>
                <w:rFonts w:ascii="Times New Roman" w:hAnsi="Times New Roman" w:cs="Times New Roman"/>
                <w:color w:val="000000" w:themeColor="text1"/>
                <w:kern w:val="0"/>
                <w:sz w:val="20"/>
                <w:szCs w:val="20"/>
                <w:lang w:val="en-US" w:eastAsia="zh-CN"/>
                <w14:textFill>
                  <w14:solidFill>
                    <w14:schemeClr w14:val="tx1"/>
                  </w14:solidFill>
                </w14:textFill>
              </w:rPr>
              <w:t>5</w:t>
            </w:r>
            <w:r>
              <w:rPr>
                <w:rFonts w:ascii="Times New Roman" w:hAnsi="Times New Roman" w:cs="Times New Roman"/>
                <w:color w:val="000000" w:themeColor="text1"/>
                <w:kern w:val="0"/>
                <w:sz w:val="20"/>
                <w:szCs w:val="20"/>
                <w14:textFill>
                  <w14:solidFill>
                    <w14:schemeClr w14:val="tx1"/>
                  </w14:solidFill>
                </w14:textFill>
              </w:rPr>
              <w:t>）</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62"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26</w:t>
            </w:r>
          </w:p>
        </w:tc>
        <w:tc>
          <w:tcPr>
            <w:tcW w:w="3540" w:type="dxa"/>
            <w:gridSpan w:val="2"/>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企业管理费及利润</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keepNext w:val="0"/>
              <w:keepLines w:val="0"/>
              <w:widowControl w:val="0"/>
              <w:kinsoku/>
              <w:overflowPunct/>
              <w:autoSpaceDE/>
              <w:bidi w:val="0"/>
              <w:snapToGrid w:val="0"/>
              <w:jc w:val="left"/>
              <w:textAlignment w:val="auto"/>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按以上成本费用的</w:t>
            </w:r>
            <w:r>
              <w:rPr>
                <w:rFonts w:ascii="Times New Roman" w:hAnsi="Times New Roman" w:eastAsia="Times New Roman" w:cs="Times New Roman"/>
                <w:color w:val="000000" w:themeColor="text1"/>
                <w:kern w:val="0"/>
                <w:sz w:val="20"/>
                <w:szCs w:val="20"/>
                <w:u w:val="single"/>
                <w:lang w:val="en-US" w:eastAsia="zh-CN"/>
                <w14:textFill>
                  <w14:solidFill>
                    <w14:schemeClr w14:val="tx1"/>
                  </w14:solidFill>
                </w14:textFill>
              </w:rPr>
              <w:t xml:space="preserve">    </w:t>
            </w:r>
            <w:r>
              <w:rPr>
                <w:rFonts w:ascii="Times New Roman" w:hAnsi="Times New Roman" w:cs="Times New Roman"/>
                <w:color w:val="000000" w:themeColor="text1"/>
                <w:kern w:val="0"/>
                <w:sz w:val="20"/>
                <w:szCs w:val="20"/>
                <w:u w:val="none"/>
                <w:lang w:val="en-US" w:eastAsia="zh-CN"/>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计提</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62" w:hRule="atLeast"/>
          <w:jc w:val="center"/>
        </w:trPr>
        <w:tc>
          <w:tcPr>
            <w:tcW w:w="620" w:type="dxa"/>
            <w:tcBorders>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27</w:t>
            </w:r>
          </w:p>
        </w:tc>
        <w:tc>
          <w:tcPr>
            <w:tcW w:w="3540" w:type="dxa"/>
            <w:gridSpan w:val="2"/>
            <w:tcBorders>
              <w:top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税费</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snapToGrid w:val="0"/>
              <w:jc w:val="left"/>
              <w:rPr>
                <w:rFonts w:ascii="Times New Roman" w:hAnsi="Times New Roman" w:cs="Times New Roman"/>
                <w:color w:val="000000" w:themeColor="text1"/>
                <w:kern w:val="0"/>
                <w:sz w:val="20"/>
                <w:szCs w:val="20"/>
                <w14:textFill>
                  <w14:solidFill>
                    <w14:schemeClr w14:val="tx1"/>
                  </w14:solidFill>
                </w14:textFill>
              </w:rPr>
            </w:pP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459" w:hRule="atLeast"/>
          <w:jc w:val="center"/>
        </w:trPr>
        <w:tc>
          <w:tcPr>
            <w:tcW w:w="4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总计</w:t>
            </w:r>
          </w:p>
        </w:tc>
        <w:tc>
          <w:tcPr>
            <w:tcW w:w="802" w:type="dxa"/>
            <w:tcBorders>
              <w:bottom w:val="single" w:color="000000" w:sz="4" w:space="0"/>
              <w:right w:val="single" w:color="000000" w:sz="4" w:space="0"/>
            </w:tcBorders>
            <w:vAlign w:val="center"/>
          </w:tcPr>
          <w:p>
            <w:pPr>
              <w:widowControl/>
              <w:jc w:val="righ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w:t>
            </w:r>
          </w:p>
        </w:tc>
        <w:tc>
          <w:tcPr>
            <w:tcW w:w="3402"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c>
          <w:tcPr>
            <w:tcW w:w="1418" w:type="dxa"/>
            <w:tcBorders>
              <w:bottom w:val="single" w:color="000000" w:sz="4" w:space="0"/>
              <w:right w:val="single" w:color="000000" w:sz="4" w:space="0"/>
            </w:tcBorders>
            <w:vAlign w:val="center"/>
          </w:tcPr>
          <w:p>
            <w:pPr>
              <w:widowControl/>
              <w:snapToGrid w:val="0"/>
              <w:jc w:val="right"/>
              <w:rPr>
                <w:rFonts w:ascii="Times New Roman" w:hAnsi="Times New Roman" w:cs="Times New Roman"/>
                <w:color w:val="000000" w:themeColor="text1"/>
                <w:kern w:val="0"/>
                <w:sz w:val="20"/>
                <w:szCs w:val="20"/>
                <w14:textFill>
                  <w14:solidFill>
                    <w14:schemeClr w14:val="tx1"/>
                  </w14:solidFill>
                </w14:textFill>
              </w:rPr>
            </w:pPr>
          </w:p>
        </w:tc>
        <w:tc>
          <w:tcPr>
            <w:tcW w:w="627" w:type="dxa"/>
            <w:tcBorders>
              <w:bottom w:val="single" w:color="000000" w:sz="4" w:space="0"/>
              <w:right w:val="single" w:color="000000" w:sz="4" w:space="0"/>
            </w:tcBorders>
            <w:vAlign w:val="center"/>
          </w:tcPr>
          <w:p>
            <w:pPr>
              <w:widowControl/>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14:textFill>
                  <w14:solidFill>
                    <w14:schemeClr w14:val="tx1"/>
                  </w14:solidFill>
                </w14:textFill>
              </w:rPr>
              <w:t>　</w:t>
            </w:r>
          </w:p>
        </w:tc>
      </w:tr>
    </w:tbl>
    <w:p>
      <w:pPr>
        <w:rPr>
          <w:rFonts w:ascii="Times New Roman" w:hAnsi="Times New Roman" w:cs="Times New Roman"/>
          <w:color w:val="000000" w:themeColor="text1"/>
          <w:lang w:val="en-US" w:eastAsia="zh-CN"/>
          <w14:textFill>
            <w14:solidFill>
              <w14:schemeClr w14:val="tx1"/>
            </w14:solidFill>
          </w14:textFill>
        </w:rPr>
      </w:pPr>
    </w:p>
    <w:p>
      <w:pPr>
        <w:rPr>
          <w:color w:val="000000" w:themeColor="text1"/>
          <w14:textFill>
            <w14:solidFill>
              <w14:schemeClr w14:val="tx1"/>
            </w14:solidFill>
          </w14:textFill>
        </w:rPr>
      </w:pPr>
    </w:p>
    <w:sectPr>
      <w:pgSz w:w="11906" w:h="16838" w:orient="landscape"/>
      <w:pgMar w:top="1440" w:right="1531" w:bottom="1440" w:left="1531" w:header="851" w:footer="992" w:gutter="0"/>
      <w:pgNumType w:fmt="decimal"/>
      <w:cols w:space="720" w:num="1"/>
      <w:formProt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Arial">
    <w:altName w:val="Nimbus Roman No9 L"/>
    <w:panose1 w:val="00000000000000000000"/>
    <w:charset w:val="00"/>
    <w:family w:val="auto"/>
    <w:pitch w:val="default"/>
    <w:sig w:usb0="00000000" w:usb1="00000000" w:usb2="00000000" w:usb3="00000000" w:csb0="00000000" w:csb1="00000000"/>
  </w:font>
  <w:font w:name="FreeSans">
    <w:altName w:val="汉仪仿宋S"/>
    <w:panose1 w:val="00000000000000000000"/>
    <w:charset w:val="00"/>
    <w:family w:val="auto"/>
    <w:pitch w:val="default"/>
    <w:sig w:usb0="00000000" w:usb1="00000000" w:usb2="00000000" w:usb3="00000000" w:csb0="00000000" w:csb1="00000000"/>
  </w:font>
  <w:font w:name="Liberation Sans">
    <w:altName w:val="汉仪仿宋S"/>
    <w:panose1 w:val="00000000000000000000"/>
    <w:charset w:val="01"/>
    <w:family w:val="swiss"/>
    <w:pitch w:val="default"/>
    <w:sig w:usb0="00000000" w:usb1="00000000" w:usb2="00000000" w:usb3="00000000" w:csb0="00000000" w:csb1="00000000"/>
  </w:font>
  <w:font w:name="Noto Sans CJK SC">
    <w:panose1 w:val="020B0500000000000000"/>
    <w:charset w:val="86"/>
    <w:family w:val="auto"/>
    <w:pitch w:val="default"/>
    <w:sig w:usb0="30000003" w:usb1="2BDF3C10" w:usb2="00000016" w:usb3="00000000" w:csb0="602E0107"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635</wp:posOffset>
              </wp:positionV>
              <wp:extent cx="116205" cy="139700"/>
              <wp:effectExtent l="0" t="0" r="0" b="0"/>
              <wp:wrapSquare wrapText="bothSides"/>
              <wp:docPr id="1" name="Frame1"/>
              <wp:cNvGraphicFramePr/>
              <a:graphic xmlns:a="http://schemas.openxmlformats.org/drawingml/2006/main">
                <a:graphicData uri="http://schemas.microsoft.com/office/word/2010/wordprocessingShape">
                  <wps:wsp>
                    <wps:cNvSpPr txBox="true"/>
                    <wps:spPr>
                      <a:xfrm>
                        <a:off x="0" y="0"/>
                        <a:ext cx="116205" cy="139700"/>
                      </a:xfrm>
                      <a:prstGeom prst="rect">
                        <a:avLst/>
                      </a:prstGeom>
                      <a:solidFill>
                        <a:srgbClr val="FFFFFF">
                          <a:alpha val="0"/>
                        </a:srgbClr>
                      </a:solidFill>
                    </wps:spPr>
                    <wps:txbx>
                      <w:txbxContent>
                        <w:p>
                          <w:pPr>
                            <w:pStyle w:val="6"/>
                            <w:rPr>
                              <w:rStyle w:val="13"/>
                            </w:rPr>
                          </w:pPr>
                          <w:r>
                            <w:rPr>
                              <w:rStyle w:val="13"/>
                            </w:rPr>
                            <w:fldChar w:fldCharType="begin"/>
                          </w:r>
                          <w:r>
                            <w:rPr>
                              <w:rStyle w:val="13"/>
                            </w:rPr>
                            <w:instrText xml:space="preserve"> PAGE </w:instrText>
                          </w:r>
                          <w:r>
                            <w:rPr>
                              <w:rStyle w:val="13"/>
                            </w:rPr>
                            <w:fldChar w:fldCharType="separate"/>
                          </w:r>
                          <w:r>
                            <w:rPr>
                              <w:rStyle w:val="13"/>
                            </w:rPr>
                            <w:t>14</w:t>
                          </w:r>
                          <w:r>
                            <w:rPr>
                              <w:rStyle w:val="13"/>
                            </w:rPr>
                            <w:fldChar w:fldCharType="end"/>
                          </w:r>
                        </w:p>
                      </w:txbxContent>
                    </wps:txbx>
                    <wps:bodyPr lIns="0" tIns="0" rIns="0" bIns="0" anchor="t">
                      <a:noAutofit/>
                    </wps:bodyPr>
                  </wps:wsp>
                </a:graphicData>
              </a:graphic>
            </wp:anchor>
          </w:drawing>
        </mc:Choice>
        <mc:Fallback>
          <w:pict>
            <v:shape id="Frame1" o:spid="_x0000_s1026" o:spt="202" type="#_x0000_t202" style="position:absolute;left:0pt;margin-top:0.05pt;height:11pt;width:9.15pt;mso-position-horizontal:center;mso-position-horizontal-relative:margin;mso-wrap-distance-bottom:0pt;mso-wrap-distance-left:0pt;mso-wrap-distance-right:0pt;mso-wrap-distance-top:0pt;z-index:251659264;mso-width-relative:page;mso-height-relative:page;" fillcolor="#FFFFFF" filled="t" stroked="f" coordsize="21600,21600" o:allowincell="f" o:gfxdata="UEsFBgAAAAAAAAAAAAAAAAAAAAAAAFBLAwQKAAAAAACHTuJAAAAAAAAAAAAAAAAABAAAAGRycy9Q&#10;SwMEFAAAAAgAh07iQDPBiR/RAAAAAwEAAA8AAABkcnMvZG93bnJldi54bWxNj81OwzAQhO9IvIO1&#10;SL1RJ6kEIWRTiSK4oqZIvbrxNo4Sr6PY/Xt7nFM57sxo5ttyfbWDONPkO8cI6TIBQdw43XGL8Lv7&#10;es5B+KBYq8ExIdzIw7p6fChVod2Ft3SuQytiCftCIZgQxkJK3xiyyi/dSBy9o5usCvGcWqkndYnl&#10;dpBZkrxIqzqOC0aNtDHU9PXJIqx+ste9/64/N+Oe3vrcf/RHNoiLpzR5BxHoGu5hmPEjOlSR6eBO&#10;rL0YEOIjYVbF7OUrEAeELEtBVqX8z179AVBLAwQUAAAACACHTuJAneFE3K8BAABoAwAADgAAAGRy&#10;cy9lMm9Eb2MueG1srVPNjtMwEL4j8Q6W7zRJEQtETVfAqggJAdLCAziO3ViyPdbYbdK3Z+w03RXc&#10;EDnY8+dv5puZ7O5nZ9lZYTTgO95sas6UlzAYf+z4r5+HV+84i0n4QVjwquMXFfn9/uWL3RRatYUR&#10;7KCQEYiP7RQ6PqYU2qqKclROxA0E5cmpAZ1IpOKxGlBMhO5sta3ru2oCHAKCVDGS9WFx8n3B11rJ&#10;9F3rqBKzHafaUjmxnH0+q/1OtEcUYTTyWob4hyqcMJ6S3qAeRBLshOYvKGckQgSdNhJcBVobqQoH&#10;YtPUf7B5HEVQhQs1J4Zbm+L/g5Xfzj+QmYFmx5kXjkZ0QLqa3JkpxJYCHgOFpPkjzB1PeFKrK5I9&#10;c541unwTG0Yh1ObLrbVqTkySsWnutvUbziS5mtfv39al9dXT44AxfVbgWBY6jjS50lBx/hoT1UKh&#10;a0jOFcGa4WCsLQoe+08W2VnQlA/lW97aMIrFuqaLS2jBe4ZRZaoLnyyluZ+v/HsYLkTffvHU9bxB&#10;q4Cr0K+C8HIE2q2lcA8fTgm0KcVn0AWJMmeFxllquK5e3pfneol6+kH2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AzwYkf0QAAAAMBAAAPAAAAAAAAAAEAIAAAADgAAABkcnMvZG93bnJldi54bWxQ&#10;SwECFAAUAAAACACHTuJAneFE3K8BAABoAwAADgAAAAAAAAABACAAAAA2AQAAZHJzL2Uyb0RvYy54&#10;bWxQSwUGAAAAAAYABgBZAQAAVwUAAAAA&#10;">
              <v:fill on="t" opacity="0f" focussize="0,0"/>
              <v:stroke on="f"/>
              <v:imagedata o:title=""/>
              <o:lock v:ext="edit" aspectratio="f"/>
              <v:textbox inset="0mm,0mm,0mm,0mm">
                <w:txbxContent>
                  <w:p>
                    <w:pPr>
                      <w:pStyle w:val="6"/>
                      <w:rPr>
                        <w:rStyle w:val="13"/>
                      </w:rPr>
                    </w:pPr>
                    <w:r>
                      <w:rPr>
                        <w:rStyle w:val="13"/>
                      </w:rPr>
                      <w:fldChar w:fldCharType="begin"/>
                    </w:r>
                    <w:r>
                      <w:rPr>
                        <w:rStyle w:val="13"/>
                      </w:rPr>
                      <w:instrText xml:space="preserve"> PAGE </w:instrText>
                    </w:r>
                    <w:r>
                      <w:rPr>
                        <w:rStyle w:val="13"/>
                      </w:rPr>
                      <w:fldChar w:fldCharType="separate"/>
                    </w:r>
                    <w:r>
                      <w:rPr>
                        <w:rStyle w:val="13"/>
                      </w:rPr>
                      <w:t>14</w:t>
                    </w:r>
                    <w:r>
                      <w:rPr>
                        <w:rStyle w:val="13"/>
                      </w:rP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CA5D4"/>
    <w:multiLevelType w:val="multilevel"/>
    <w:tmpl w:val="8FFCA5D4"/>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autoHyphenation/>
  <w:displayHorizontalDrawingGridEvery w:val="1"/>
  <w:displayVerticalDrawingGridEvery w:val="1"/>
  <w:noPunctuationKerning w:val="true"/>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jMTM2OWViYjczYjliNzNjZWI1NWE1ODM5MTk0NDQifQ=="/>
  </w:docVars>
  <w:rsids>
    <w:rsidRoot w:val="00000000"/>
    <w:rsid w:val="0D074274"/>
    <w:rsid w:val="157224A6"/>
    <w:rsid w:val="175E4068"/>
    <w:rsid w:val="1AE82360"/>
    <w:rsid w:val="1FDFFA23"/>
    <w:rsid w:val="20997B20"/>
    <w:rsid w:val="21091F11"/>
    <w:rsid w:val="2651500E"/>
    <w:rsid w:val="272F01F7"/>
    <w:rsid w:val="274912B9"/>
    <w:rsid w:val="29A94291"/>
    <w:rsid w:val="2B6F5066"/>
    <w:rsid w:val="2CAC6E5C"/>
    <w:rsid w:val="2D61DCBF"/>
    <w:rsid w:val="2E1D1EB9"/>
    <w:rsid w:val="2F430E9C"/>
    <w:rsid w:val="37D44BCF"/>
    <w:rsid w:val="3CD66366"/>
    <w:rsid w:val="3DC254CA"/>
    <w:rsid w:val="462013A6"/>
    <w:rsid w:val="48821DFE"/>
    <w:rsid w:val="4C87625C"/>
    <w:rsid w:val="4F012616"/>
    <w:rsid w:val="54BF230B"/>
    <w:rsid w:val="63DD62B9"/>
    <w:rsid w:val="6C4433CA"/>
    <w:rsid w:val="749B1FF5"/>
    <w:rsid w:val="77F92EB5"/>
    <w:rsid w:val="7BF6BECD"/>
    <w:rsid w:val="7FFFB68B"/>
    <w:rsid w:val="F5E38B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Arial" w:hAnsi="Calibri;Arial" w:eastAsia="宋体" w:cs="Times New Roman"/>
      <w:color w:val="auto"/>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6" w:lineRule="auto"/>
      <w:outlineLvl w:val="0"/>
    </w:pPr>
    <w:rPr>
      <w:b/>
      <w:bCs/>
      <w:kern w:val="2"/>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pPr>
      <w:suppressLineNumbers/>
      <w:spacing w:before="120" w:after="120"/>
    </w:pPr>
    <w:rPr>
      <w:rFonts w:cs="FreeSans"/>
      <w:i/>
      <w:iCs/>
      <w:sz w:val="24"/>
      <w:szCs w:val="24"/>
    </w:rPr>
  </w:style>
  <w:style w:type="paragraph" w:styleId="4">
    <w:name w:val="Body Text"/>
    <w:basedOn w:val="1"/>
    <w:qFormat/>
    <w:uiPriority w:val="0"/>
    <w:pPr>
      <w:spacing w:before="0" w:after="140" w:line="276" w:lineRule="auto"/>
    </w:pPr>
  </w:style>
  <w:style w:type="paragraph" w:styleId="5">
    <w:name w:val="Body Text Indent"/>
    <w:basedOn w:val="1"/>
    <w:qFormat/>
    <w:uiPriority w:val="0"/>
    <w:pPr>
      <w:spacing w:before="0" w:after="120"/>
      <w:ind w:left="420" w:right="0" w:firstLine="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8">
    <w:name w:val="List"/>
    <w:basedOn w:val="4"/>
    <w:qFormat/>
    <w:uiPriority w:val="0"/>
    <w:rPr>
      <w:rFonts w:cs="FreeSans"/>
    </w:rPr>
  </w:style>
  <w:style w:type="character" w:styleId="11">
    <w:name w:val="Strong"/>
    <w:basedOn w:val="12"/>
    <w:qFormat/>
    <w:uiPriority w:val="0"/>
    <w:rPr>
      <w:b/>
    </w:rPr>
  </w:style>
  <w:style w:type="character" w:customStyle="1" w:styleId="12">
    <w:name w:val="默认段落字体1"/>
    <w:qFormat/>
    <w:uiPriority w:val="0"/>
  </w:style>
  <w:style w:type="character" w:styleId="13">
    <w:name w:val="page number"/>
    <w:basedOn w:val="12"/>
    <w:qFormat/>
    <w:uiPriority w:val="0"/>
  </w:style>
  <w:style w:type="paragraph" w:customStyle="1" w:styleId="14">
    <w:name w:val="Heading"/>
    <w:basedOn w:val="1"/>
    <w:next w:val="4"/>
    <w:qFormat/>
    <w:uiPriority w:val="0"/>
    <w:pPr>
      <w:keepNext/>
      <w:spacing w:before="240" w:after="120"/>
    </w:pPr>
    <w:rPr>
      <w:rFonts w:ascii="Liberation Sans" w:hAnsi="Liberation Sans" w:eastAsia="Noto Sans CJK SC" w:cs="FreeSans"/>
      <w:sz w:val="28"/>
      <w:szCs w:val="28"/>
    </w:rPr>
  </w:style>
  <w:style w:type="paragraph" w:customStyle="1" w:styleId="15">
    <w:name w:val="Index"/>
    <w:basedOn w:val="1"/>
    <w:qFormat/>
    <w:uiPriority w:val="0"/>
    <w:pPr>
      <w:suppressLineNumbers/>
    </w:pPr>
    <w:rPr>
      <w:rFonts w:cs="FreeSans"/>
    </w:rPr>
  </w:style>
  <w:style w:type="paragraph" w:customStyle="1" w:styleId="16">
    <w:name w:val="日期1"/>
    <w:basedOn w:val="1"/>
    <w:next w:val="1"/>
    <w:qFormat/>
    <w:uiPriority w:val="0"/>
    <w:pPr>
      <w:ind w:left="100" w:right="0" w:firstLine="0"/>
    </w:pPr>
  </w:style>
  <w:style w:type="paragraph" w:customStyle="1" w:styleId="17">
    <w:name w:val="批注框文本1"/>
    <w:basedOn w:val="1"/>
    <w:qFormat/>
    <w:uiPriority w:val="0"/>
    <w:rPr>
      <w:sz w:val="18"/>
      <w:szCs w:val="18"/>
    </w:rPr>
  </w:style>
  <w:style w:type="paragraph" w:customStyle="1" w:styleId="18">
    <w:name w:val="Header and Footer"/>
    <w:basedOn w:val="1"/>
    <w:qFormat/>
    <w:uiPriority w:val="0"/>
    <w:pPr>
      <w:suppressLineNumbers/>
      <w:tabs>
        <w:tab w:val="center" w:pos="4819"/>
        <w:tab w:val="right" w:pos="9638"/>
      </w:tabs>
    </w:pPr>
  </w:style>
  <w:style w:type="paragraph" w:customStyle="1" w:styleId="19">
    <w:name w:val="普通(网站)1"/>
    <w:basedOn w:val="1"/>
    <w:qFormat/>
    <w:uiPriority w:val="0"/>
    <w:pPr>
      <w:widowControl/>
      <w:spacing w:before="100" w:after="100"/>
      <w:jc w:val="left"/>
    </w:pPr>
    <w:rPr>
      <w:rFonts w:ascii="宋体" w:hAnsi="宋体" w:cs="宋体"/>
      <w:kern w:val="0"/>
      <w:sz w:val="24"/>
      <w:szCs w:val="24"/>
    </w:rPr>
  </w:style>
  <w:style w:type="paragraph" w:customStyle="1" w:styleId="20">
    <w:name w:val="正文首行缩进 21"/>
    <w:basedOn w:val="5"/>
    <w:qFormat/>
    <w:uiPriority w:val="0"/>
    <w:pPr>
      <w:widowControl/>
      <w:tabs>
        <w:tab w:val="left" w:pos="0"/>
        <w:tab w:val="left" w:pos="993"/>
        <w:tab w:val="left" w:pos="1134"/>
      </w:tabs>
      <w:spacing w:before="0" w:after="0" w:line="500" w:lineRule="exact"/>
      <w:ind w:left="0" w:right="0" w:firstLine="420"/>
    </w:pPr>
    <w:rPr>
      <w:rFonts w:ascii="宋体" w:hAnsi="宋体" w:cs="宋体"/>
      <w:sz w:val="28"/>
      <w:szCs w:val="28"/>
    </w:rPr>
  </w:style>
  <w:style w:type="paragraph" w:customStyle="1" w:styleId="21">
    <w:name w:val="Table Contents"/>
    <w:basedOn w:val="1"/>
    <w:qFormat/>
    <w:uiPriority w:val="0"/>
    <w:pPr>
      <w:widowControl w:val="0"/>
      <w:suppressLineNumbers/>
    </w:pPr>
  </w:style>
  <w:style w:type="paragraph" w:customStyle="1" w:styleId="22">
    <w:name w:val="Table Heading"/>
    <w:basedOn w:val="21"/>
    <w:qFormat/>
    <w:uiPriority w:val="0"/>
    <w:pPr>
      <w:suppressLineNumbers/>
      <w:jc w:val="center"/>
    </w:pPr>
    <w:rPr>
      <w:b/>
      <w:bCs/>
    </w:rPr>
  </w:style>
  <w:style w:type="paragraph" w:customStyle="1" w:styleId="23">
    <w:name w:val="Frame Contents"/>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695</Words>
  <Characters>733</Characters>
  <TotalTime>77</TotalTime>
  <ScaleCrop>false</ScaleCrop>
  <LinksUpToDate>false</LinksUpToDate>
  <CharactersWithSpaces>744</CharactersWithSpaces>
  <Application>WPS Office_11.8.2.9831_F1E327BC-269C-435d-A152-05C5408002CA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2026-08-19T10:07:00Z</dcterms:created>
  <dc:creator>Data</dc:creator>
  <cp:lastModifiedBy>casic</cp:lastModifiedBy>
  <cp:lastPrinted>2026-09-07T16:55:00Z</cp:lastPrinted>
  <dcterms:modified xsi:type="dcterms:W3CDTF">2026-09-07T10:32:07Z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580E8BC141EFB7089DDE826AAAB10ABC_43</vt:lpwstr>
  </property>
  <property fmtid="{D5CDD505-2E9C-101B-9397-08002B2CF9AE}" pid="3" name="KSOProductBuildVer">
    <vt:lpwstr>2052-11.8.2.9831</vt:lpwstr>
  </property>
  <property fmtid="{D5CDD505-2E9C-101B-9397-08002B2CF9AE}" pid="4" name="KSOTemplateDocerSaveRecord">
    <vt:lpwstr>eyJoZGlkIjoiMzFlMDI2ZTU3MTliMDNiYjE5ZGYxODU4OWFkMjM0ZTkiLCJ1c2VySWQiOiIyMzc3MzgxNjIifQ==</vt:lpwstr>
  </property>
</Properties>
</file>